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862" w:rsidRPr="003539D9" w:rsidRDefault="001B0862" w:rsidP="001B0862">
      <w:pPr>
        <w:pStyle w:val="Heading3"/>
      </w:pPr>
      <w:bookmarkStart w:id="0" w:name="_Toc229673804"/>
      <w:r w:rsidRPr="003539D9">
        <w:t>Issue 274: Archetypical Sounds</w:t>
      </w:r>
      <w:bookmarkEnd w:id="0"/>
    </w:p>
    <w:p w:rsidR="001B0862" w:rsidRPr="003539D9" w:rsidRDefault="001B0862" w:rsidP="001B0862">
      <w:r w:rsidRPr="003539D9">
        <w:t xml:space="preserve">The SIG reviewed the HW by GB, RS, </w:t>
      </w:r>
      <w:proofErr w:type="spellStart"/>
      <w:r w:rsidRPr="003539D9">
        <w:t>ClB</w:t>
      </w:r>
      <w:proofErr w:type="spellEnd"/>
      <w:r w:rsidRPr="003539D9">
        <w:t xml:space="preserve">, OE, concerning the properties of E100 Audio Item. The details of the HW can be found </w:t>
      </w:r>
      <w:hyperlink w:anchor="_Issue_274:" w:history="1">
        <w:r w:rsidRPr="001B0862">
          <w:rPr>
            <w:rStyle w:val="Hyperlink"/>
          </w:rPr>
          <w:t>bel</w:t>
        </w:r>
        <w:r w:rsidRPr="001B0862">
          <w:rPr>
            <w:rStyle w:val="Hyperlink"/>
          </w:rPr>
          <w:t>o</w:t>
        </w:r>
        <w:r w:rsidRPr="001B0862">
          <w:rPr>
            <w:rStyle w:val="Hyperlink"/>
          </w:rPr>
          <w:t>w</w:t>
        </w:r>
      </w:hyperlink>
      <w:r w:rsidRPr="003539D9">
        <w:t xml:space="preserve">. </w:t>
      </w:r>
    </w:p>
    <w:p w:rsidR="001B0862" w:rsidRPr="003539D9" w:rsidRDefault="001B0862" w:rsidP="001B0862">
      <w:pPr>
        <w:rPr>
          <w:b/>
          <w:bCs/>
        </w:rPr>
      </w:pPr>
      <w:r w:rsidRPr="003539D9">
        <w:rPr>
          <w:b/>
          <w:bCs/>
        </w:rPr>
        <w:t xml:space="preserve">Discussion points: </w:t>
      </w:r>
    </w:p>
    <w:p w:rsidR="001B0862" w:rsidRPr="003539D9" w:rsidRDefault="001B0862" w:rsidP="001B0862">
      <w:r w:rsidRPr="003539D9">
        <w:rPr>
          <w:u w:val="single"/>
        </w:rPr>
        <w:t>Concerning the examples</w:t>
      </w:r>
      <w:r w:rsidRPr="003539D9">
        <w:t xml:space="preserve">: </w:t>
      </w:r>
    </w:p>
    <w:p w:rsidR="001B0862" w:rsidRPr="003539D9" w:rsidRDefault="001B0862" w:rsidP="001B0862">
      <w:pPr>
        <w:pStyle w:val="ListParagraph"/>
        <w:numPr>
          <w:ilvl w:val="0"/>
          <w:numId w:val="1"/>
        </w:numPr>
      </w:pPr>
      <w:r w:rsidRPr="003539D9">
        <w:t xml:space="preserve">The humpback whale song examples need to be reworked if admitted at all. That they stand in a type to token relation (type: the recorded sonic item, token: individual humpback whale song in various interactions with their environment that gets matched to the prototype/archetype) is perceived to ignore variance in individual humpback whale song. </w:t>
      </w:r>
    </w:p>
    <w:p w:rsidR="001B0862" w:rsidRPr="003539D9" w:rsidRDefault="001B0862" w:rsidP="001B0862">
      <w:pPr>
        <w:pStyle w:val="ListParagraph"/>
        <w:numPr>
          <w:ilvl w:val="0"/>
          <w:numId w:val="1"/>
        </w:numPr>
      </w:pPr>
      <w:r w:rsidRPr="003539D9">
        <w:t xml:space="preserve">On the other hand, an ideal example should not account for existing (or postulated) variance in whale song, but should rather be a case that meaning is unvaried across instances. </w:t>
      </w:r>
    </w:p>
    <w:p w:rsidR="001B0862" w:rsidRPr="003539D9" w:rsidRDefault="001B0862" w:rsidP="001B0862">
      <w:pPr>
        <w:pStyle w:val="ListParagraph"/>
        <w:numPr>
          <w:ilvl w:val="1"/>
          <w:numId w:val="1"/>
        </w:numPr>
      </w:pPr>
      <w:r w:rsidRPr="003539D9">
        <w:t>Examples that are all human-made, with an unambiguous meaning (Wilhelm scream, the sound of a dial-up internet connection, the Nokia tune, etc.) would be a better fit.</w:t>
      </w:r>
    </w:p>
    <w:p w:rsidR="001B0862" w:rsidRPr="003539D9" w:rsidRDefault="001B0862" w:rsidP="001B0862">
      <w:pPr>
        <w:pStyle w:val="ListParagraph"/>
        <w:numPr>
          <w:ilvl w:val="1"/>
          <w:numId w:val="1"/>
        </w:numPr>
      </w:pPr>
      <w:r w:rsidRPr="003539D9">
        <w:t>However, it must be acknowledged that Natural History collections do need to document sounds/audio items. Hence the statement “</w:t>
      </w:r>
      <w:r w:rsidRPr="003539D9">
        <w:rPr>
          <w:b/>
          <w:bCs/>
          <w:u w:val="single"/>
        </w:rPr>
        <w:t>this</w:t>
      </w:r>
      <w:r w:rsidRPr="003539D9">
        <w:t xml:space="preserve"> is how humpback whales sound” should be allowed –</w:t>
      </w:r>
      <w:r w:rsidRPr="003539D9">
        <w:rPr>
          <w:b/>
          <w:bCs/>
          <w:u w:val="single"/>
        </w:rPr>
        <w:t>this</w:t>
      </w:r>
      <w:r w:rsidRPr="003539D9">
        <w:t xml:space="preserve"> referring to recorded sounds emitted by humpback whales as perceived and recorded by surveying teams of experts in various occasions/settings. E100 and its properties aspire to do that exactly: pinpoint the identifiable sonic item that a set of patterns are understood to instantiate. </w:t>
      </w:r>
    </w:p>
    <w:p w:rsidR="001B0862" w:rsidRPr="003539D9" w:rsidRDefault="001B0862" w:rsidP="001B0862">
      <w:pPr>
        <w:pStyle w:val="ListParagraph"/>
        <w:numPr>
          <w:ilvl w:val="2"/>
          <w:numId w:val="1"/>
        </w:numPr>
      </w:pPr>
      <w:r w:rsidRPr="003539D9">
        <w:t xml:space="preserve">Redoing the examples should allow for human-made (i.e., recorded via some recording device) sounds originally emitted by non-human E20 Biological Object to be documented using some property that connects to E100 Audio Item. </w:t>
      </w:r>
    </w:p>
    <w:p w:rsidR="001B0862" w:rsidRPr="003539D9" w:rsidRDefault="001B0862" w:rsidP="001B0862">
      <w:pPr>
        <w:pStyle w:val="ListParagraph"/>
        <w:numPr>
          <w:ilvl w:val="0"/>
          <w:numId w:val="1"/>
        </w:numPr>
      </w:pPr>
      <w:r w:rsidRPr="003539D9">
        <w:t xml:space="preserve">Based on the humpback whale &amp; the Radiohead examples: E100 Audio Item is understood as though it were mixing emitted/perceived sound with recorded sound. But in reality, the same principle applies as if one were taking an instance of E20 Biological Object (let’s say a particular beetle), pinning and preserving it, and calling a human-made “specimen for species x”. That we cannot easily tease apart sound emission (and perception) from recording sound (and then playing it back) is predominantly culture driven. </w:t>
      </w:r>
    </w:p>
    <w:p w:rsidR="001B0862" w:rsidRPr="003539D9" w:rsidRDefault="001B0862" w:rsidP="001B0862">
      <w:pPr>
        <w:pStyle w:val="ListParagraph"/>
        <w:numPr>
          <w:ilvl w:val="1"/>
          <w:numId w:val="1"/>
        </w:numPr>
      </w:pPr>
      <w:r w:rsidRPr="003539D9">
        <w:t>Use cases identified from the domain of Intangible Cultural Heritage and Oral tradition are long known to us (</w:t>
      </w:r>
      <w:hyperlink r:id="rId5" w:history="1">
        <w:r w:rsidRPr="003539D9">
          <w:rPr>
            <w:rStyle w:val="Hyperlink"/>
          </w:rPr>
          <w:t>https://immaterieelerfgoed.be/nl/nieuws/recording-and-presentations-cidoc-ich-working-group</w:t>
        </w:r>
      </w:hyperlink>
      <w:r w:rsidRPr="003539D9">
        <w:t xml:space="preserve">) </w:t>
      </w:r>
    </w:p>
    <w:p w:rsidR="001B0862" w:rsidRPr="003539D9" w:rsidRDefault="001B0862" w:rsidP="001B0862">
      <w:r w:rsidRPr="003539D9">
        <w:rPr>
          <w:u w:val="single"/>
        </w:rPr>
        <w:t xml:space="preserve">Concerning the proposal for </w:t>
      </w:r>
      <w:proofErr w:type="spellStart"/>
      <w:r w:rsidRPr="003539D9">
        <w:rPr>
          <w:u w:val="single"/>
        </w:rPr>
        <w:t>Pxx</w:t>
      </w:r>
      <w:proofErr w:type="spellEnd"/>
      <w:r w:rsidRPr="003539D9">
        <w:rPr>
          <w:u w:val="single"/>
        </w:rPr>
        <w:t xml:space="preserve"> sounds typical for (is typical sound of)</w:t>
      </w:r>
      <w:r w:rsidRPr="003539D9">
        <w:t>:</w:t>
      </w:r>
    </w:p>
    <w:p w:rsidR="001B0862" w:rsidRPr="003539D9" w:rsidRDefault="001B0862" w:rsidP="001B0862">
      <w:pPr>
        <w:pStyle w:val="ListParagraph"/>
        <w:numPr>
          <w:ilvl w:val="0"/>
          <w:numId w:val="1"/>
        </w:numPr>
      </w:pPr>
      <w:r w:rsidRPr="003539D9">
        <w:t xml:space="preserve">Its usefulness was contested. The property closely resembles P137 exemplifies (is exemplified by), to the extent that people felt it replicates P137. </w:t>
      </w:r>
    </w:p>
    <w:p w:rsidR="001B0862" w:rsidRPr="003539D9" w:rsidRDefault="001B0862" w:rsidP="001B0862">
      <w:pPr>
        <w:pStyle w:val="ListParagraph"/>
        <w:numPr>
          <w:ilvl w:val="0"/>
          <w:numId w:val="1"/>
        </w:numPr>
      </w:pPr>
      <w:r w:rsidRPr="003539D9">
        <w:t>The relation does not have a semantic bearing besides specifying the domain of P2 has type (to E100 Audio Item instead of E1 CRM Entity).</w:t>
      </w:r>
    </w:p>
    <w:p w:rsidR="001B0862" w:rsidRPr="003539D9" w:rsidRDefault="001B0862" w:rsidP="001B0862">
      <w:pPr>
        <w:pStyle w:val="ListParagraph"/>
        <w:numPr>
          <w:ilvl w:val="0"/>
          <w:numId w:val="1"/>
        </w:numPr>
      </w:pPr>
      <w:r w:rsidRPr="003539D9">
        <w:t xml:space="preserve">An alternative would be to subtype E55 Type as Audio Type, but so far, we haven’t needed to document that. </w:t>
      </w:r>
    </w:p>
    <w:p w:rsidR="001B0862" w:rsidRPr="003539D9" w:rsidRDefault="001B0862" w:rsidP="001B0862">
      <w:r w:rsidRPr="003539D9">
        <w:rPr>
          <w:b/>
          <w:bCs/>
        </w:rPr>
        <w:t>Decisions</w:t>
      </w:r>
      <w:r w:rsidRPr="003539D9">
        <w:t>:</w:t>
      </w:r>
    </w:p>
    <w:p w:rsidR="001B0862" w:rsidRPr="003539D9" w:rsidRDefault="001B0862" w:rsidP="001B0862">
      <w:pPr>
        <w:pStyle w:val="ListParagraph"/>
        <w:numPr>
          <w:ilvl w:val="0"/>
          <w:numId w:val="2"/>
        </w:numPr>
      </w:pPr>
      <w:bookmarkStart w:id="1" w:name="_GoBack"/>
      <w:r w:rsidRPr="003539D9">
        <w:t xml:space="preserve">Update the scope note of </w:t>
      </w:r>
      <w:hyperlink w:anchor="_NEW_DEFINITION" w:history="1">
        <w:r w:rsidRPr="003539D9">
          <w:rPr>
            <w:rStyle w:val="Hyperlink"/>
          </w:rPr>
          <w:t>E100</w:t>
        </w:r>
      </w:hyperlink>
      <w:r w:rsidRPr="003539D9">
        <w:t xml:space="preserve"> Audio Item as proposed in CIDOC CRM version 7.4</w:t>
      </w:r>
    </w:p>
    <w:p w:rsidR="001B0862" w:rsidRPr="003539D9" w:rsidRDefault="001B0862" w:rsidP="001B0862">
      <w:pPr>
        <w:pStyle w:val="ListParagraph"/>
        <w:numPr>
          <w:ilvl w:val="0"/>
          <w:numId w:val="2"/>
        </w:numPr>
      </w:pPr>
      <w:r w:rsidRPr="003539D9">
        <w:t xml:space="preserve">Introduce properties </w:t>
      </w:r>
      <w:hyperlink w:anchor="_P201_sounded_(was" w:history="1">
        <w:r w:rsidRPr="003539D9">
          <w:rPr>
            <w:rStyle w:val="Hyperlink"/>
          </w:rPr>
          <w:t>P201</w:t>
        </w:r>
      </w:hyperlink>
      <w:r w:rsidRPr="003539D9">
        <w:t xml:space="preserve"> sounded (was sounded by), </w:t>
      </w:r>
      <w:hyperlink w:anchor="_P202_bears_recording" w:history="1">
        <w:r w:rsidRPr="003539D9">
          <w:rPr>
            <w:rStyle w:val="Hyperlink"/>
          </w:rPr>
          <w:t>P202</w:t>
        </w:r>
      </w:hyperlink>
      <w:r w:rsidRPr="003539D9">
        <w:t xml:space="preserve"> bears recording of (is recorded on) in CIDOC CRM version 7.4. It is a draft version, so it doesn’t matter that they’re not polished.</w:t>
      </w:r>
    </w:p>
    <w:p w:rsidR="001B0862" w:rsidRPr="003539D9" w:rsidRDefault="001B0862" w:rsidP="001B0862">
      <w:pPr>
        <w:pStyle w:val="ListParagraph"/>
        <w:numPr>
          <w:ilvl w:val="0"/>
          <w:numId w:val="2"/>
        </w:numPr>
      </w:pPr>
      <w:r w:rsidRPr="003539D9">
        <w:lastRenderedPageBreak/>
        <w:t xml:space="preserve">Do not introduce property </w:t>
      </w:r>
      <w:hyperlink w:anchor="_Pxx_sounds_typical" w:history="1">
        <w:proofErr w:type="spellStart"/>
        <w:r w:rsidRPr="003539D9">
          <w:rPr>
            <w:rStyle w:val="Hyperlink"/>
          </w:rPr>
          <w:t>Pxx</w:t>
        </w:r>
        <w:proofErr w:type="spellEnd"/>
        <w:r w:rsidRPr="003539D9">
          <w:rPr>
            <w:rStyle w:val="Hyperlink"/>
          </w:rPr>
          <w:t xml:space="preserve"> sounds typical for (is typical sound of)</w:t>
        </w:r>
      </w:hyperlink>
      <w:r w:rsidRPr="003539D9">
        <w:t xml:space="preserve"> at the moment. Explore its connection to P137 exemplifies, to avoid duplicating the property.</w:t>
      </w:r>
    </w:p>
    <w:p w:rsidR="001B0862" w:rsidRPr="003539D9" w:rsidRDefault="001B0862" w:rsidP="001B0862">
      <w:pPr>
        <w:pStyle w:val="ListParagraph"/>
        <w:numPr>
          <w:ilvl w:val="0"/>
          <w:numId w:val="2"/>
        </w:numPr>
      </w:pPr>
      <w:r w:rsidRPr="003539D9">
        <w:rPr>
          <w:b/>
          <w:bCs/>
        </w:rPr>
        <w:t>HW</w:t>
      </w:r>
      <w:r w:rsidRPr="003539D9">
        <w:t xml:space="preserve">: PR, </w:t>
      </w:r>
      <w:proofErr w:type="spellStart"/>
      <w:r w:rsidRPr="003539D9">
        <w:t>SdS</w:t>
      </w:r>
      <w:proofErr w:type="spellEnd"/>
      <w:r w:rsidRPr="003539D9">
        <w:t xml:space="preserve">, NC, GB to review the scope notes for E100 Audio Item, P201 sounded (was sounded by), P202 bears recording of (is recorded on) &amp; </w:t>
      </w:r>
      <w:proofErr w:type="spellStart"/>
      <w:r w:rsidRPr="003539D9">
        <w:t>Pxx</w:t>
      </w:r>
      <w:proofErr w:type="spellEnd"/>
      <w:r w:rsidRPr="003539D9">
        <w:t xml:space="preserve"> sounds typical for (is typical sound of), and provide additional comments.</w:t>
      </w:r>
      <w:bookmarkEnd w:id="1"/>
      <w:r w:rsidRPr="003539D9">
        <w:t xml:space="preserve"> </w:t>
      </w:r>
    </w:p>
    <w:p w:rsidR="001B0862" w:rsidRPr="003539D9" w:rsidRDefault="001B0862" w:rsidP="001B0862">
      <w:pPr>
        <w:pStyle w:val="Heading3"/>
      </w:pPr>
      <w:bookmarkStart w:id="2" w:name="_Toc229673848"/>
      <w:bookmarkStart w:id="3" w:name="_Issue_274:"/>
      <w:bookmarkEnd w:id="3"/>
      <w:r w:rsidRPr="003539D9">
        <w:t>Issue 274:</w:t>
      </w:r>
      <w:bookmarkEnd w:id="2"/>
      <w:r w:rsidRPr="003539D9">
        <w:t xml:space="preserve">  </w:t>
      </w:r>
      <w:r>
        <w:t>HW submitted for the 62</w:t>
      </w:r>
      <w:r w:rsidRPr="001B0862">
        <w:rPr>
          <w:vertAlign w:val="superscript"/>
        </w:rPr>
        <w:t>nd</w:t>
      </w:r>
      <w:r>
        <w:t xml:space="preserve"> SIG Meeting </w:t>
      </w:r>
    </w:p>
    <w:p w:rsidR="001B0862" w:rsidRPr="003539D9" w:rsidRDefault="001B0862" w:rsidP="001B0862">
      <w:pPr>
        <w:pStyle w:val="Heading4"/>
      </w:pPr>
      <w:r w:rsidRPr="003539D9">
        <w:t>E100 Audio Item update</w:t>
      </w:r>
    </w:p>
    <w:p w:rsidR="001B0862" w:rsidRPr="003539D9" w:rsidRDefault="001B0862" w:rsidP="001B0862">
      <w:pPr>
        <w:pStyle w:val="Heading5"/>
      </w:pPr>
      <w:bookmarkStart w:id="4" w:name="_NEW_DEFINITION"/>
      <w:bookmarkEnd w:id="4"/>
      <w:r w:rsidRPr="003539D9">
        <w:t>NEW DEFINITION</w:t>
      </w:r>
    </w:p>
    <w:p w:rsidR="001B0862" w:rsidRPr="003539D9" w:rsidRDefault="001B0862" w:rsidP="001B0862">
      <w:pPr>
        <w:rPr>
          <w:rFonts w:asciiTheme="minorBidi" w:hAnsiTheme="minorBidi" w:cstheme="minorBidi"/>
          <w:b/>
          <w:bCs/>
          <w:lang w:eastAsia="zh-CN" w:bidi="hi-IN"/>
        </w:rPr>
      </w:pPr>
      <w:r w:rsidRPr="003539D9">
        <w:rPr>
          <w:rFonts w:asciiTheme="minorBidi" w:hAnsiTheme="minorBidi" w:cstheme="minorBidi"/>
          <w:b/>
          <w:bCs/>
          <w:lang w:eastAsia="zh-CN" w:bidi="hi-IN"/>
        </w:rPr>
        <w:t>E100 Audio Item</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Subclass of: </w:t>
      </w:r>
    </w:p>
    <w:p w:rsidR="001B0862" w:rsidRPr="003539D9" w:rsidRDefault="001B0862" w:rsidP="001B0862">
      <w:pPr>
        <w:suppressAutoHyphens/>
        <w:spacing w:after="0"/>
        <w:ind w:left="1440"/>
        <w:rPr>
          <w:rFonts w:ascii="Times New Roman" w:eastAsia="Noto Serif CJK SC" w:hAnsi="Times New Roman" w:cs="Lohit Devanagari"/>
          <w:kern w:val="2"/>
          <w:szCs w:val="24"/>
          <w:lang w:eastAsia="zh-CN" w:bidi="hi-IN"/>
        </w:rPr>
      </w:pPr>
      <w:hyperlink w:anchor="_toc8484">
        <w:r w:rsidRPr="003539D9">
          <w:rPr>
            <w:rFonts w:ascii="Times New Roman" w:eastAsia="Noto Serif CJK SC" w:hAnsi="Times New Roman" w:cs="Lohit Devanagari"/>
            <w:color w:val="000000"/>
            <w:kern w:val="2"/>
            <w:szCs w:val="24"/>
            <w:u w:val="dotted"/>
            <w:lang w:eastAsia="zh-CN" w:bidi="hi-IN"/>
          </w:rPr>
          <w:t>E73</w:t>
        </w:r>
      </w:hyperlink>
      <w:r w:rsidRPr="003539D9">
        <w:rPr>
          <w:rFonts w:ascii="Times New Roman" w:eastAsia="Noto Serif CJK SC" w:hAnsi="Times New Roman" w:cs="Lohit Devanagari"/>
          <w:kern w:val="2"/>
          <w:szCs w:val="24"/>
          <w:lang w:eastAsia="zh-CN" w:bidi="hi-IN"/>
        </w:rPr>
        <w:t xml:space="preserve"> Information Object</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Scope note:</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bookmarkStart w:id="5" w:name="_Hlk229588392"/>
      <w:r w:rsidRPr="003539D9">
        <w:rPr>
          <w:rFonts w:ascii="Times New Roman" w:eastAsia="Noto Serif CJK SC" w:hAnsi="Times New Roman" w:cs="Lohit Devanagari"/>
          <w:kern w:val="2"/>
          <w:szCs w:val="24"/>
          <w:lang w:eastAsia="zh-CN" w:bidi="hi-IN"/>
        </w:rPr>
        <w:t>This class comprises identifiable immaterial audio items such as songs, jingles, an audio scape, machine noises etc. with an objectively recognizable form that are documented as single units.</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substance of an audio item is an audio pattern. Instances of E100 Audio Item are not sound events themselves, but their pattern, recognizable and identified by a social cultural group either because of its intentional encoding or its communally recognized common pattern. An example of the latter would be the first recording of the Beatles’ Abbey Road; an example of the latter might be the soundscape of a busy London street circa 2025.  </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This class does not intend to describe the idiosyncratic characteristics of an individual occurrence of a particular song, jingle </w:t>
      </w:r>
      <w:r>
        <w:rPr>
          <w:rFonts w:ascii="Times New Roman" w:eastAsia="Noto Serif CJK SC" w:hAnsi="Times New Roman" w:cs="Lohit Devanagari"/>
          <w:kern w:val="2"/>
          <w:szCs w:val="24"/>
          <w:lang w:eastAsia="zh-CN" w:bidi="hi-IN"/>
        </w:rPr>
        <w:t>and/</w:t>
      </w:r>
      <w:r w:rsidRPr="003539D9">
        <w:rPr>
          <w:rFonts w:ascii="Times New Roman" w:eastAsia="Noto Serif CJK SC" w:hAnsi="Times New Roman" w:cs="Lohit Devanagari"/>
          <w:kern w:val="2"/>
          <w:szCs w:val="24"/>
          <w:lang w:eastAsia="zh-CN" w:bidi="hi-IN"/>
        </w:rPr>
        <w:t xml:space="preserve">or </w:t>
      </w:r>
      <w:proofErr w:type="spellStart"/>
      <w:r w:rsidRPr="003539D9">
        <w:rPr>
          <w:rFonts w:ascii="Times New Roman" w:eastAsia="Noto Serif CJK SC" w:hAnsi="Times New Roman" w:cs="Lohit Devanagari"/>
          <w:kern w:val="2"/>
          <w:szCs w:val="24"/>
          <w:lang w:eastAsia="zh-CN" w:bidi="hi-IN"/>
        </w:rPr>
        <w:t>audioscape</w:t>
      </w:r>
      <w:proofErr w:type="spellEnd"/>
      <w:r w:rsidRPr="003539D9">
        <w:rPr>
          <w:rFonts w:ascii="Times New Roman" w:eastAsia="Noto Serif CJK SC" w:hAnsi="Times New Roman" w:cs="Lohit Devanagari"/>
          <w:kern w:val="2"/>
          <w:szCs w:val="24"/>
          <w:lang w:eastAsia="zh-CN" w:bidi="hi-IN"/>
        </w:rPr>
        <w:t xml:space="preserve">, but rather the underlying prototype. For example, a sound such as 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 is generally considered to be the same logo when played in any number of adverts or media, despite it having minor variation. The tone may change, but the underlying sound encoded remains uniquely identifiable. The same is true of music or other audio performances which are performed or played back many times. While individual characteristics of the performance may incidentally change, a basic, identical form can be recognized across performance instances. Thus, for example one might distinguish between the characteristic sound of the Leonard Cohen performance of Hallelujah or that of Jeff Buckley. This means that an instance of E100 Audio Item is independent of performance. </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Aside from sounds following a particular composition, sounds captured from the environment (natural or human) and recognizable within a certain society or culture can be instances of E100 Audio Item. Examples would include the sound of a tuned Porsche Carrera engine revving at 3000 rpm, the warble of the common Loon, or the David Frost Interviews with Nixon. </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Instances of E100 Audio Item come to be when they are intentionally created to capture and communicate a particular sound. They continue to exist as long as carriers of this item exist.</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The class E100 Audio Item provides a means of identifying and linking together instances of E5 Event in which the same sounds, compositions or utterances etc. can be identified to have occurred, using </w:t>
      </w:r>
      <w:r w:rsidRPr="003539D9">
        <w:rPr>
          <w:rFonts w:ascii="Times New Roman" w:eastAsia="Noto Serif CJK SC" w:hAnsi="Times New Roman" w:cs="Lohit Devanagari"/>
          <w:i/>
          <w:iCs/>
          <w:kern w:val="2"/>
          <w:szCs w:val="24"/>
          <w:lang w:eastAsia="zh-CN" w:bidi="hi-IN"/>
        </w:rPr>
        <w:t>P201 sounded (was sounded by)</w:t>
      </w:r>
      <w:r w:rsidRPr="003539D9">
        <w:rPr>
          <w:rFonts w:ascii="Times New Roman" w:eastAsia="Noto Serif CJK SC" w:hAnsi="Times New Roman" w:cs="Lohit Devanagari"/>
          <w:kern w:val="2"/>
          <w:szCs w:val="24"/>
          <w:lang w:eastAsia="zh-CN" w:bidi="hi-IN"/>
        </w:rPr>
        <w:t>, E100 Audio Item. Further an instance of E100 Audio Item may be recorded and then can be indicated as P</w:t>
      </w:r>
      <w:r w:rsidRPr="003539D9">
        <w:rPr>
          <w:rFonts w:ascii="Times New Roman" w:eastAsia="Noto Serif CJK SC" w:hAnsi="Times New Roman" w:cs="Lohit Devanagari"/>
          <w:i/>
          <w:iCs/>
          <w:kern w:val="2"/>
          <w:szCs w:val="24"/>
          <w:lang w:eastAsia="zh-CN" w:bidi="hi-IN"/>
        </w:rPr>
        <w:t>202i is recorded on (bears recording of)</w:t>
      </w:r>
      <w:r w:rsidRPr="003539D9">
        <w:rPr>
          <w:rFonts w:ascii="Times New Roman" w:eastAsia="Noto Serif CJK SC" w:hAnsi="Times New Roman" w:cs="Lohit Devanagari"/>
          <w:kern w:val="2"/>
          <w:szCs w:val="24"/>
          <w:lang w:eastAsia="zh-CN" w:bidi="hi-IN"/>
        </w:rPr>
        <w:t xml:space="preserve"> E22 Human-Made Object</w:t>
      </w:r>
      <w:bookmarkEnd w:id="5"/>
      <w:r w:rsidRPr="003539D9">
        <w:rPr>
          <w:rFonts w:ascii="Times New Roman" w:eastAsia="Noto Serif CJK SC" w:hAnsi="Times New Roman" w:cs="Lohit Devanagari"/>
          <w:kern w:val="2"/>
          <w:szCs w:val="24"/>
          <w:lang w:eastAsia="zh-CN" w:bidi="hi-IN"/>
        </w:rPr>
        <w:t>.</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lastRenderedPageBreak/>
        <w:t xml:space="preserve">Examples: </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Francisco </w:t>
      </w:r>
      <w:proofErr w:type="spellStart"/>
      <w:r w:rsidRPr="003539D9">
        <w:rPr>
          <w:rFonts w:ascii="Times New Roman" w:eastAsia="Noto Serif CJK SC" w:hAnsi="Times New Roman" w:cs="Lohit Devanagari"/>
          <w:kern w:val="2"/>
          <w:szCs w:val="24"/>
          <w:lang w:eastAsia="zh-CN" w:bidi="hi-IN"/>
        </w:rPr>
        <w:t>Tárrega's</w:t>
      </w:r>
      <w:proofErr w:type="spellEnd"/>
      <w:r w:rsidRPr="003539D9">
        <w:rPr>
          <w:rFonts w:ascii="Times New Roman" w:eastAsia="Noto Serif CJK SC" w:hAnsi="Times New Roman" w:cs="Lohit Devanagari"/>
          <w:kern w:val="2"/>
          <w:szCs w:val="24"/>
          <w:lang w:eastAsia="zh-CN" w:bidi="hi-IN"/>
        </w:rPr>
        <w:t xml:space="preserve"> Nokia tune [Grande </w:t>
      </w:r>
      <w:proofErr w:type="spellStart"/>
      <w:r w:rsidRPr="003539D9">
        <w:rPr>
          <w:rFonts w:ascii="Times New Roman" w:eastAsia="Noto Serif CJK SC" w:hAnsi="Times New Roman" w:cs="Lohit Devanagari"/>
          <w:kern w:val="2"/>
          <w:szCs w:val="24"/>
          <w:lang w:eastAsia="zh-CN" w:bidi="hi-IN"/>
        </w:rPr>
        <w:t>Valse</w:t>
      </w:r>
      <w:proofErr w:type="spellEnd"/>
      <w:r w:rsidRPr="003539D9">
        <w:rPr>
          <w:rFonts w:ascii="Times New Roman" w:eastAsia="Noto Serif CJK SC" w:hAnsi="Times New Roman" w:cs="Lohit Devanagari"/>
          <w:kern w:val="2"/>
          <w:szCs w:val="24"/>
          <w:lang w:eastAsia="zh-CN" w:bidi="hi-IN"/>
        </w:rPr>
        <w:t>]</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 recording of the Greater Horned Toad</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sound of the Porsche 911 engine revved at 3000 rpm</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In first-order logic:</w:t>
      </w:r>
    </w:p>
    <w:p w:rsidR="001B0862" w:rsidRPr="003539D9" w:rsidRDefault="001B0862" w:rsidP="001B0862">
      <w:pPr>
        <w:suppressAutoHyphens/>
        <w:spacing w:after="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E100(x) </w:t>
      </w:r>
      <w:r w:rsidRPr="003539D9">
        <w:rPr>
          <w:rFonts w:ascii="Cambria Math" w:eastAsia="Noto Serif CJK SC" w:hAnsi="Cambria Math" w:cs="Cambria Math"/>
          <w:kern w:val="2"/>
          <w:szCs w:val="24"/>
          <w:lang w:eastAsia="zh-CN" w:bidi="hi-IN"/>
        </w:rPr>
        <w:t>⇒</w:t>
      </w:r>
      <w:r w:rsidRPr="003539D9">
        <w:rPr>
          <w:rFonts w:ascii="Times New Roman" w:eastAsia="Noto Serif CJK SC" w:hAnsi="Times New Roman" w:cs="Lohit Devanagari"/>
          <w:kern w:val="2"/>
          <w:szCs w:val="24"/>
          <w:lang w:eastAsia="zh-CN" w:bidi="hi-IN"/>
        </w:rPr>
        <w:t xml:space="preserve"> E73(x)</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Properties: </w:t>
      </w:r>
    </w:p>
    <w:p w:rsidR="001B0862" w:rsidRPr="003539D9" w:rsidRDefault="001B0862" w:rsidP="001B0862">
      <w:pPr>
        <w:spacing w:after="0"/>
        <w:ind w:left="720" w:firstLine="720"/>
        <w:rPr>
          <w:rFonts w:ascii="Times New Roman" w:eastAsia="Noto Serif CJK SC" w:hAnsi="Times New Roman" w:cs="Lohit Devanagari"/>
          <w:kern w:val="2"/>
          <w:szCs w:val="24"/>
          <w:lang w:eastAsia="zh-CN" w:bidi="hi-IN"/>
        </w:rPr>
      </w:pPr>
      <w:bookmarkStart w:id="6" w:name="_Hlk229588454"/>
      <w:r w:rsidRPr="003539D9">
        <w:rPr>
          <w:rFonts w:ascii="Times New Roman" w:eastAsia="Noto Serif CJK SC" w:hAnsi="Times New Roman" w:cs="Lohit Devanagari"/>
          <w:kern w:val="2"/>
          <w:szCs w:val="24"/>
          <w:lang w:eastAsia="zh-CN" w:bidi="hi-IN"/>
        </w:rPr>
        <w:t>P201 sounded (was sounded by) D: E5 Event</w:t>
      </w:r>
    </w:p>
    <w:p w:rsidR="001B0862" w:rsidRPr="003539D9" w:rsidRDefault="001B0862" w:rsidP="001B0862">
      <w:pPr>
        <w:ind w:left="720" w:firstLine="720"/>
      </w:pPr>
      <w:r w:rsidRPr="003539D9">
        <w:rPr>
          <w:rFonts w:ascii="Times New Roman" w:eastAsia="Noto Serif CJK SC" w:hAnsi="Times New Roman" w:cs="Lohit Devanagari"/>
          <w:kern w:val="2"/>
          <w:szCs w:val="24"/>
          <w:lang w:eastAsia="zh-CN" w:bidi="hi-IN"/>
        </w:rPr>
        <w:t>P202 is recorded on (bears recording of): E22 Human-Made Object</w:t>
      </w:r>
      <w:bookmarkEnd w:id="6"/>
    </w:p>
    <w:p w:rsidR="001B0862" w:rsidRPr="003539D9" w:rsidRDefault="001B0862" w:rsidP="001B0862"/>
    <w:p w:rsidR="001B0862" w:rsidRPr="003539D9" w:rsidRDefault="001B0862" w:rsidP="001B0862">
      <w:pPr>
        <w:pStyle w:val="Heading5"/>
      </w:pPr>
      <w:r w:rsidRPr="003539D9">
        <w:t>OLD DEFINITION</w:t>
      </w:r>
    </w:p>
    <w:p w:rsidR="001B0862" w:rsidRPr="003539D9" w:rsidRDefault="001B0862" w:rsidP="001B0862">
      <w:pPr>
        <w:rPr>
          <w:rFonts w:asciiTheme="minorBidi" w:hAnsiTheme="minorBidi" w:cstheme="minorBidi"/>
          <w:b/>
          <w:bCs/>
          <w:lang w:eastAsia="zh-CN" w:bidi="hi-IN"/>
        </w:rPr>
      </w:pPr>
      <w:r w:rsidRPr="003539D9">
        <w:rPr>
          <w:rFonts w:asciiTheme="minorBidi" w:hAnsiTheme="minorBidi" w:cstheme="minorBidi"/>
          <w:b/>
          <w:bCs/>
          <w:lang w:eastAsia="zh-CN" w:bidi="hi-IN"/>
        </w:rPr>
        <w:t>E100 Audio Item</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Subclass of: </w:t>
      </w:r>
    </w:p>
    <w:p w:rsidR="001B0862" w:rsidRPr="003539D9" w:rsidRDefault="001B0862" w:rsidP="001B0862">
      <w:pPr>
        <w:suppressAutoHyphens/>
        <w:spacing w:after="0"/>
        <w:ind w:left="1440"/>
        <w:rPr>
          <w:rFonts w:ascii="Times New Roman" w:eastAsia="Noto Serif CJK SC" w:hAnsi="Times New Roman" w:cs="Lohit Devanagari"/>
          <w:kern w:val="2"/>
          <w:szCs w:val="24"/>
          <w:lang w:eastAsia="zh-CN" w:bidi="hi-IN"/>
        </w:rPr>
      </w:pPr>
      <w:hyperlink w:anchor="_toc8484">
        <w:r w:rsidRPr="003539D9">
          <w:rPr>
            <w:rFonts w:ascii="Times New Roman" w:eastAsia="Noto Serif CJK SC" w:hAnsi="Times New Roman" w:cs="Lohit Devanagari"/>
            <w:color w:val="000000"/>
            <w:kern w:val="2"/>
            <w:szCs w:val="24"/>
            <w:u w:val="dotted"/>
            <w:lang w:eastAsia="zh-CN" w:bidi="hi-IN"/>
          </w:rPr>
          <w:t>E73</w:t>
        </w:r>
      </w:hyperlink>
      <w:r w:rsidRPr="003539D9">
        <w:rPr>
          <w:rFonts w:ascii="Times New Roman" w:eastAsia="Noto Serif CJK SC" w:hAnsi="Times New Roman" w:cs="Lohit Devanagari"/>
          <w:kern w:val="2"/>
          <w:szCs w:val="24"/>
          <w:lang w:eastAsia="zh-CN" w:bidi="hi-IN"/>
        </w:rPr>
        <w:t xml:space="preserve"> Information Object</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Scope note:</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This class comprises the intellectual or conceptual aspects of recognisable sounds and compositions.</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The substance of an audio item is a recognizable pattern of vibration in a medium as perceivable by an auditory system. Sounds in and of themselves are not human constructs, instances of audio item, however, are. Specifically, they are the identifiable and recognizable vibratory patterns which have become objects of discourse within given cultures and societies and act as symbolic markers and can be the basis for contemplation, discourse and reasoning inter alia.  </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This class does not intend to describe the idiosyncratic characteristics of an individual occurrence of a particular sound, performance or playback of sound, but rather the underlying prototype. For example, a sound such as 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 is generally considered to be the same logo when played in any number of adverts or media. The tone may change, but the logo remains uniquely identifiable. The same is true of music or speeches which are performed many times. While individual characteristics of the performance or speech may incidentally change, a basic, identical form can be recognized across performance instances. This means that an instance of audio item is independent of performance. </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Aside from sounds following a particular composition, sounds captured from the environment (natural or human) and recognizable within a certain society or culture can be instances of audio item. Examples would include the sound of a tuned Porsche Carrera engine revving at 3000 rpm, the warble of the common Loon, or the David Frost Interviews with Nixon. </w:t>
      </w:r>
    </w:p>
    <w:p w:rsidR="001B0862" w:rsidRPr="003539D9" w:rsidRDefault="001B0862" w:rsidP="001B0862">
      <w:pPr>
        <w:suppressAutoHyphens/>
        <w:spacing w:after="17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The class E100 Audio Item provides a means of identifying and linking together instances of E5 Event in which the same sounds, compositions or utterances etc. can be identified to have occurred, using P100 sounded (was sounded by), E100 Audio Item. Further an instance of E100Audio Item may be recorded and then can be indicated as </w:t>
      </w:r>
      <w:r w:rsidRPr="003539D9">
        <w:rPr>
          <w:rFonts w:ascii="Times New Roman" w:eastAsia="Noto Serif CJK SC" w:hAnsi="Times New Roman" w:cs="Lohit Devanagari"/>
          <w:i/>
          <w:kern w:val="2"/>
          <w:szCs w:val="24"/>
          <w:lang w:eastAsia="zh-CN" w:bidi="hi-IN"/>
        </w:rPr>
        <w:t>PXX is recorded on (bears recording of)</w:t>
      </w:r>
      <w:r w:rsidRPr="003539D9">
        <w:rPr>
          <w:rFonts w:ascii="Times New Roman" w:eastAsia="Noto Serif CJK SC" w:hAnsi="Times New Roman" w:cs="Lohit Devanagari"/>
          <w:kern w:val="2"/>
          <w:szCs w:val="24"/>
          <w:lang w:eastAsia="zh-CN" w:bidi="hi-IN"/>
        </w:rPr>
        <w:t xml:space="preserve"> E24 Physical Human-Made Thing.</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Examples: </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Walter </w:t>
      </w:r>
      <w:proofErr w:type="spellStart"/>
      <w:r w:rsidRPr="003539D9">
        <w:rPr>
          <w:rFonts w:ascii="Times New Roman" w:eastAsia="Noto Serif CJK SC" w:hAnsi="Times New Roman" w:cs="Lohit Devanagari"/>
          <w:kern w:val="2"/>
          <w:szCs w:val="24"/>
          <w:lang w:eastAsia="zh-CN" w:bidi="hi-IN"/>
        </w:rPr>
        <w:t>Werzowa's</w:t>
      </w:r>
      <w:proofErr w:type="spellEnd"/>
      <w:r w:rsidRPr="003539D9">
        <w:rPr>
          <w:rFonts w:ascii="Times New Roman" w:eastAsia="Noto Serif CJK SC" w:hAnsi="Times New Roman" w:cs="Lohit Devanagari"/>
          <w:kern w:val="2"/>
          <w:szCs w:val="24"/>
          <w:lang w:eastAsia="zh-CN" w:bidi="hi-IN"/>
        </w:rPr>
        <w:t xml:space="preserve"> Intel sonic logo</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lastRenderedPageBreak/>
        <w:t xml:space="preserve">Francisco </w:t>
      </w:r>
      <w:proofErr w:type="spellStart"/>
      <w:r w:rsidRPr="003539D9">
        <w:rPr>
          <w:rFonts w:ascii="Times New Roman" w:eastAsia="Noto Serif CJK SC" w:hAnsi="Times New Roman" w:cs="Lohit Devanagari"/>
          <w:kern w:val="2"/>
          <w:szCs w:val="24"/>
          <w:lang w:eastAsia="zh-CN" w:bidi="hi-IN"/>
        </w:rPr>
        <w:t>Tárrega's</w:t>
      </w:r>
      <w:proofErr w:type="spellEnd"/>
      <w:r w:rsidRPr="003539D9">
        <w:rPr>
          <w:rFonts w:ascii="Times New Roman" w:eastAsia="Noto Serif CJK SC" w:hAnsi="Times New Roman" w:cs="Lohit Devanagari"/>
          <w:kern w:val="2"/>
          <w:szCs w:val="24"/>
          <w:lang w:eastAsia="zh-CN" w:bidi="hi-IN"/>
        </w:rPr>
        <w:t xml:space="preserve"> Nokia tune [Grande </w:t>
      </w:r>
      <w:proofErr w:type="spellStart"/>
      <w:r w:rsidRPr="003539D9">
        <w:rPr>
          <w:rFonts w:ascii="Times New Roman" w:eastAsia="Noto Serif CJK SC" w:hAnsi="Times New Roman" w:cs="Lohit Devanagari"/>
          <w:kern w:val="2"/>
          <w:szCs w:val="24"/>
          <w:lang w:eastAsia="zh-CN" w:bidi="hi-IN"/>
        </w:rPr>
        <w:t>Valse</w:t>
      </w:r>
      <w:proofErr w:type="spellEnd"/>
      <w:r w:rsidRPr="003539D9">
        <w:rPr>
          <w:rFonts w:ascii="Times New Roman" w:eastAsia="Noto Serif CJK SC" w:hAnsi="Times New Roman" w:cs="Lohit Devanagari"/>
          <w:kern w:val="2"/>
          <w:szCs w:val="24"/>
          <w:lang w:eastAsia="zh-CN" w:bidi="hi-IN"/>
        </w:rPr>
        <w:t>]</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 recording of the Greater Horned Toad</w:t>
      </w:r>
    </w:p>
    <w:p w:rsidR="001B0862" w:rsidRPr="003539D9" w:rsidRDefault="001B0862" w:rsidP="001B0862">
      <w:pPr>
        <w:numPr>
          <w:ilvl w:val="0"/>
          <w:numId w:val="3"/>
        </w:numPr>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the sound of the Porsche 911 engine revved at 3000 rpm</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In first-order logic:</w:t>
      </w:r>
    </w:p>
    <w:p w:rsidR="001B0862" w:rsidRPr="003539D9" w:rsidRDefault="001B0862" w:rsidP="001B0862">
      <w:pPr>
        <w:suppressAutoHyphens/>
        <w:spacing w:after="0"/>
        <w:ind w:left="144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E100(x) </w:t>
      </w:r>
      <w:r w:rsidRPr="003539D9">
        <w:rPr>
          <w:rFonts w:ascii="Cambria Math" w:eastAsia="Noto Serif CJK SC" w:hAnsi="Cambria Math" w:cs="Cambria Math"/>
          <w:kern w:val="2"/>
          <w:szCs w:val="24"/>
          <w:lang w:eastAsia="zh-CN" w:bidi="hi-IN"/>
        </w:rPr>
        <w:t>⇒</w:t>
      </w:r>
      <w:r w:rsidRPr="003539D9">
        <w:rPr>
          <w:rFonts w:ascii="Times New Roman" w:eastAsia="Noto Serif CJK SC" w:hAnsi="Times New Roman" w:cs="Lohit Devanagari"/>
          <w:kern w:val="2"/>
          <w:szCs w:val="24"/>
          <w:lang w:eastAsia="zh-CN" w:bidi="hi-IN"/>
        </w:rPr>
        <w:t xml:space="preserve"> E73(x)</w:t>
      </w:r>
    </w:p>
    <w:p w:rsidR="001B0862" w:rsidRPr="003539D9" w:rsidRDefault="001B0862" w:rsidP="001B0862">
      <w:pPr>
        <w:keepNext/>
        <w:suppressAutoHyphens/>
        <w:spacing w:before="170" w:after="0"/>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Properties: </w:t>
      </w:r>
    </w:p>
    <w:p w:rsidR="001B0862" w:rsidRPr="003539D9" w:rsidRDefault="001B0862" w:rsidP="001B0862">
      <w:pPr>
        <w:ind w:left="720" w:firstLine="720"/>
      </w:pPr>
      <w:proofErr w:type="spellStart"/>
      <w:r w:rsidRPr="003539D9">
        <w:rPr>
          <w:rFonts w:ascii="Times New Roman" w:eastAsia="Noto Serif CJK SC" w:hAnsi="Times New Roman" w:cs="Lohit Devanagari"/>
          <w:kern w:val="2"/>
          <w:szCs w:val="24"/>
          <w:lang w:eastAsia="zh-CN" w:bidi="hi-IN"/>
        </w:rPr>
        <w:t>Pxx</w:t>
      </w:r>
      <w:proofErr w:type="spellEnd"/>
      <w:r w:rsidRPr="003539D9">
        <w:rPr>
          <w:rFonts w:ascii="Times New Roman" w:eastAsia="Noto Serif CJK SC" w:hAnsi="Times New Roman" w:cs="Lohit Devanagari"/>
          <w:kern w:val="2"/>
          <w:szCs w:val="24"/>
          <w:lang w:eastAsia="zh-CN" w:bidi="hi-IN"/>
        </w:rPr>
        <w:t xml:space="preserve"> is recorded on (bears recording of): E24 Physical Human-Made Thing</w:t>
      </w:r>
    </w:p>
    <w:p w:rsidR="001B0862" w:rsidRPr="003539D9" w:rsidRDefault="001B0862" w:rsidP="001B0862">
      <w:pPr>
        <w:spacing w:after="160" w:line="278" w:lineRule="auto"/>
      </w:pPr>
    </w:p>
    <w:p w:rsidR="001B0862" w:rsidRPr="003539D9" w:rsidRDefault="001B0862" w:rsidP="001B0862">
      <w:pPr>
        <w:pStyle w:val="Heading4"/>
      </w:pPr>
      <w:bookmarkStart w:id="7" w:name="_P201_sounded_(was"/>
      <w:bookmarkEnd w:id="7"/>
      <w:r w:rsidRPr="003539D9">
        <w:t>P201 sounded (was sounded by)</w:t>
      </w:r>
    </w:p>
    <w:p w:rsidR="001B0862" w:rsidRPr="003539D9" w:rsidRDefault="001B0862" w:rsidP="001B0862">
      <w:pPr>
        <w:rPr>
          <w:rFonts w:asciiTheme="minorBidi" w:hAnsiTheme="minorBidi" w:cstheme="minorBidi"/>
          <w:b/>
          <w:bCs/>
        </w:rPr>
      </w:pPr>
      <w:bookmarkStart w:id="8" w:name="_Toc69734530"/>
      <w:bookmarkStart w:id="9" w:name="_Toc63009539"/>
      <w:bookmarkStart w:id="10" w:name="_Toc71114771"/>
      <w:bookmarkStart w:id="11" w:name="_Toc70522563"/>
      <w:bookmarkStart w:id="12" w:name="_Toc71548615"/>
      <w:bookmarkStart w:id="13" w:name="_Toc216281186"/>
      <w:r w:rsidRPr="003539D9">
        <w:rPr>
          <w:rFonts w:asciiTheme="minorBidi" w:hAnsiTheme="minorBidi" w:cstheme="minorBidi"/>
          <w:b/>
          <w:bCs/>
        </w:rPr>
        <w:t>P201 sounded (was sounded by)</w:t>
      </w:r>
      <w:bookmarkEnd w:id="8"/>
      <w:bookmarkEnd w:id="9"/>
      <w:bookmarkEnd w:id="10"/>
      <w:bookmarkEnd w:id="11"/>
      <w:bookmarkEnd w:id="12"/>
      <w:bookmarkEnd w:id="13"/>
    </w:p>
    <w:p w:rsidR="001B0862" w:rsidRPr="003539D9" w:rsidRDefault="001B0862" w:rsidP="001B0862">
      <w:pPr>
        <w:pStyle w:val="CRMDescriptionLabel"/>
      </w:pPr>
      <w:r w:rsidRPr="003539D9">
        <w:t>Domain:</w:t>
      </w:r>
    </w:p>
    <w:p w:rsidR="001B0862" w:rsidRPr="003539D9" w:rsidRDefault="001B0862" w:rsidP="001B0862">
      <w:pPr>
        <w:pStyle w:val="CRMDomainRange"/>
      </w:pPr>
      <w:hyperlink w:anchor="_toc7383">
        <w:r w:rsidRPr="003539D9">
          <w:rPr>
            <w:rStyle w:val="Hyperlink1"/>
          </w:rPr>
          <w:t>E5</w:t>
        </w:r>
      </w:hyperlink>
      <w:r w:rsidRPr="003539D9">
        <w:t xml:space="preserve"> Event</w:t>
      </w:r>
    </w:p>
    <w:p w:rsidR="001B0862" w:rsidRPr="003539D9" w:rsidRDefault="001B0862" w:rsidP="001B0862">
      <w:pPr>
        <w:pStyle w:val="CRMDescriptionLabel"/>
      </w:pPr>
      <w:r w:rsidRPr="003539D9">
        <w:t>Range:</w:t>
      </w:r>
    </w:p>
    <w:p w:rsidR="001B0862" w:rsidRPr="003539D9" w:rsidRDefault="001B0862" w:rsidP="001B0862">
      <w:pPr>
        <w:pStyle w:val="CRMDomainRange"/>
      </w:pPr>
      <w:r w:rsidRPr="003539D9">
        <w:t>E100 Audio Item</w:t>
      </w:r>
    </w:p>
    <w:p w:rsidR="001B0862" w:rsidRPr="003539D9" w:rsidRDefault="001B0862" w:rsidP="001B0862">
      <w:pPr>
        <w:pStyle w:val="CRMDescriptionLabel"/>
      </w:pPr>
      <w:r w:rsidRPr="003539D9">
        <w:t xml:space="preserve">Subproperty of: </w:t>
      </w:r>
    </w:p>
    <w:p w:rsidR="001B0862" w:rsidRPr="003539D9" w:rsidRDefault="001B0862" w:rsidP="001B0862">
      <w:pPr>
        <w:pStyle w:val="CRMDomainRange"/>
      </w:pPr>
    </w:p>
    <w:p w:rsidR="001B0862" w:rsidRPr="003539D9" w:rsidRDefault="001B0862" w:rsidP="001B0862">
      <w:pPr>
        <w:pStyle w:val="CRMDescriptionLabel"/>
      </w:pPr>
      <w:r w:rsidRPr="003539D9">
        <w:t>Superproperty of:</w:t>
      </w:r>
    </w:p>
    <w:p w:rsidR="001B0862" w:rsidRPr="003539D9" w:rsidRDefault="001B0862" w:rsidP="001B0862">
      <w:pPr>
        <w:pStyle w:val="CRMDomainRange"/>
      </w:pPr>
    </w:p>
    <w:p w:rsidR="001B0862" w:rsidRPr="003539D9" w:rsidRDefault="001B0862" w:rsidP="001B0862">
      <w:pPr>
        <w:pStyle w:val="CRMDescriptionLabel"/>
      </w:pPr>
      <w:r w:rsidRPr="003539D9">
        <w:t>Quantification:</w:t>
      </w:r>
    </w:p>
    <w:p w:rsidR="001B0862" w:rsidRPr="003539D9" w:rsidRDefault="001B0862" w:rsidP="001B0862">
      <w:pPr>
        <w:pStyle w:val="CRMQuantification"/>
        <w:rPr>
          <w:color w:val="000000"/>
        </w:rPr>
      </w:pPr>
      <w:r w:rsidRPr="003539D9">
        <w:rPr>
          <w:color w:val="000000"/>
        </w:rPr>
        <w:t>many to many (0,n:0,n)</w:t>
      </w:r>
    </w:p>
    <w:p w:rsidR="001B0862" w:rsidRPr="003539D9" w:rsidRDefault="001B0862" w:rsidP="001B0862">
      <w:pPr>
        <w:pStyle w:val="CRMDescriptionLabel"/>
      </w:pPr>
      <w:r w:rsidRPr="003539D9">
        <w:t>Scope note:</w:t>
      </w:r>
    </w:p>
    <w:p w:rsidR="001B0862" w:rsidRPr="003539D9" w:rsidRDefault="001B0862" w:rsidP="001B0862">
      <w:pPr>
        <w:pStyle w:val="CRMScopeNoteText"/>
      </w:pPr>
      <w:r w:rsidRPr="003539D9">
        <w:t>This property connects an event in which a sound was produced, to the corresponding instance of E100 Audio Item that represents the identifiable, recurring pattern of that sound. This property allows modelling of multiple occurrences of the same audio item across distinct events, e.g., a live performance, a broadcast, or environmental sound recording.</w:t>
      </w:r>
    </w:p>
    <w:p w:rsidR="001B0862" w:rsidRPr="003539D9" w:rsidRDefault="001B0862" w:rsidP="001B0862">
      <w:pPr>
        <w:pStyle w:val="CRMDescriptionLabel"/>
      </w:pPr>
      <w:r w:rsidRPr="003539D9">
        <w:t>Full path:</w:t>
      </w:r>
    </w:p>
    <w:p w:rsidR="001B0862" w:rsidRPr="003539D9" w:rsidRDefault="001B0862" w:rsidP="001B0862">
      <w:pPr>
        <w:pStyle w:val="CRMFullPath"/>
      </w:pPr>
    </w:p>
    <w:p w:rsidR="001B0862" w:rsidRPr="003539D9" w:rsidRDefault="001B0862" w:rsidP="001B0862">
      <w:pPr>
        <w:pStyle w:val="CRMDescriptionLabel"/>
      </w:pPr>
      <w:r w:rsidRPr="003539D9">
        <w:t xml:space="preserve">Examples: </w:t>
      </w:r>
    </w:p>
    <w:p w:rsidR="001B0862" w:rsidRPr="003539D9" w:rsidRDefault="001B0862" w:rsidP="001B0862">
      <w:pPr>
        <w:pStyle w:val="CRMExample"/>
        <w:numPr>
          <w:ilvl w:val="0"/>
          <w:numId w:val="3"/>
        </w:numPr>
      </w:pPr>
      <w:r w:rsidRPr="003539D9">
        <w:t xml:space="preserve">Radiohead’s performance Glastonbury Festival June 1997 (E100) </w:t>
      </w:r>
      <w:r w:rsidRPr="003539D9">
        <w:rPr>
          <w:i/>
          <w:iCs/>
        </w:rPr>
        <w:t>sounded</w:t>
      </w:r>
      <w:r w:rsidRPr="003539D9">
        <w:t> “Fake Plastic Trees” (E100)</w:t>
      </w:r>
    </w:p>
    <w:p w:rsidR="001B0862" w:rsidRPr="003539D9" w:rsidRDefault="001B0862" w:rsidP="001B0862">
      <w:pPr>
        <w:pStyle w:val="CRMDescriptionLabel"/>
      </w:pPr>
      <w:r w:rsidRPr="003539D9">
        <w:t xml:space="preserve">In first-order logic: </w:t>
      </w:r>
    </w:p>
    <w:p w:rsidR="001B0862" w:rsidRPr="003539D9" w:rsidRDefault="001B0862" w:rsidP="001B0862">
      <w:pPr>
        <w:pStyle w:val="CRMFirstOrderLogic"/>
      </w:pPr>
      <w:r w:rsidRPr="003539D9">
        <w:t xml:space="preserve">P201(x,y) </w:t>
      </w:r>
      <w:r w:rsidRPr="003539D9">
        <w:rPr>
          <w:rFonts w:ascii="Cambria Math" w:hAnsi="Cambria Math" w:cs="Cambria Math"/>
        </w:rPr>
        <w:t>⇒</w:t>
      </w:r>
      <w:r w:rsidRPr="003539D9">
        <w:t xml:space="preserve"> E5(x)</w:t>
      </w:r>
    </w:p>
    <w:p w:rsidR="001B0862" w:rsidRPr="003539D9" w:rsidRDefault="001B0862" w:rsidP="001B0862">
      <w:pPr>
        <w:pStyle w:val="CRMFirstOrderLogic"/>
      </w:pPr>
      <w:r w:rsidRPr="003539D9">
        <w:t xml:space="preserve">P201(x,y) </w:t>
      </w:r>
      <w:r w:rsidRPr="003539D9">
        <w:rPr>
          <w:rFonts w:ascii="Cambria Math" w:hAnsi="Cambria Math" w:cs="Cambria Math"/>
        </w:rPr>
        <w:t>⇒</w:t>
      </w:r>
      <w:r w:rsidRPr="003539D9">
        <w:t xml:space="preserve"> E100(y)</w:t>
      </w:r>
      <w:bookmarkStart w:id="14" w:name="_toc8844"/>
      <w:bookmarkStart w:id="15" w:name="_toc8894"/>
      <w:bookmarkEnd w:id="14"/>
      <w:bookmarkEnd w:id="15"/>
    </w:p>
    <w:p w:rsidR="001B0862" w:rsidRPr="003539D9" w:rsidRDefault="001B0862" w:rsidP="001B0862">
      <w:pPr>
        <w:pStyle w:val="Heading4"/>
        <w:rPr>
          <w:i w:val="0"/>
          <w:iCs w:val="0"/>
        </w:rPr>
      </w:pPr>
      <w:bookmarkStart w:id="16" w:name="_P202_bears_recording"/>
      <w:bookmarkEnd w:id="16"/>
      <w:r w:rsidRPr="003539D9">
        <w:t>P202 bears recording of (is recorded on)</w:t>
      </w:r>
    </w:p>
    <w:p w:rsidR="001B0862" w:rsidRPr="003539D9" w:rsidRDefault="001B0862" w:rsidP="001B0862">
      <w:pPr>
        <w:rPr>
          <w:rFonts w:asciiTheme="minorBidi" w:hAnsiTheme="minorBidi" w:cstheme="minorBidi"/>
          <w:b/>
          <w:bCs/>
        </w:rPr>
      </w:pPr>
      <w:r w:rsidRPr="003539D9">
        <w:rPr>
          <w:rFonts w:asciiTheme="minorBidi" w:hAnsiTheme="minorBidi" w:cstheme="minorBidi"/>
          <w:b/>
          <w:bCs/>
        </w:rPr>
        <w:t>P202 bears recording of (is recorded on)</w:t>
      </w:r>
    </w:p>
    <w:p w:rsidR="001B0862" w:rsidRPr="003539D9" w:rsidRDefault="001B0862" w:rsidP="001B0862">
      <w:pPr>
        <w:pStyle w:val="CRMDescriptionLabel"/>
      </w:pPr>
      <w:r w:rsidRPr="003539D9">
        <w:t>Domain:</w:t>
      </w:r>
    </w:p>
    <w:p w:rsidR="001B0862" w:rsidRPr="003539D9" w:rsidRDefault="001B0862" w:rsidP="001B0862">
      <w:pPr>
        <w:pStyle w:val="CRMDomainRange"/>
      </w:pPr>
      <w:hyperlink w:anchor="_toc7751">
        <w:r w:rsidRPr="003539D9">
          <w:rPr>
            <w:rStyle w:val="Hyperlink1"/>
          </w:rPr>
          <w:t>E22</w:t>
        </w:r>
      </w:hyperlink>
      <w:r w:rsidRPr="003539D9">
        <w:t xml:space="preserve"> Human-Made Object</w:t>
      </w:r>
    </w:p>
    <w:p w:rsidR="001B0862" w:rsidRPr="003539D9" w:rsidRDefault="001B0862" w:rsidP="001B0862">
      <w:pPr>
        <w:pStyle w:val="CRMDescriptionLabel"/>
      </w:pPr>
      <w:r w:rsidRPr="003539D9">
        <w:t>Range:</w:t>
      </w:r>
    </w:p>
    <w:p w:rsidR="001B0862" w:rsidRPr="003539D9" w:rsidRDefault="001B0862" w:rsidP="001B0862">
      <w:pPr>
        <w:pStyle w:val="CRMDomainRange"/>
      </w:pPr>
      <w:r w:rsidRPr="003539D9">
        <w:t>E100 Audio Item</w:t>
      </w:r>
    </w:p>
    <w:p w:rsidR="001B0862" w:rsidRPr="003539D9" w:rsidRDefault="001B0862" w:rsidP="001B0862">
      <w:pPr>
        <w:pStyle w:val="CRMDescriptionLabel"/>
      </w:pPr>
      <w:r w:rsidRPr="003539D9">
        <w:lastRenderedPageBreak/>
        <w:t xml:space="preserve">Subproperty of: </w:t>
      </w:r>
    </w:p>
    <w:p w:rsidR="001B0862" w:rsidRPr="003539D9" w:rsidRDefault="001B0862" w:rsidP="001B0862">
      <w:pPr>
        <w:pStyle w:val="CRMSuperSubProperty"/>
      </w:pPr>
      <w:hyperlink w:anchor="_toc7650">
        <w:r w:rsidRPr="003539D9">
          <w:rPr>
            <w:rStyle w:val="Hyperlink1"/>
            <w:szCs w:val="20"/>
          </w:rPr>
          <w:t>E18</w:t>
        </w:r>
      </w:hyperlink>
      <w:r w:rsidRPr="003539D9">
        <w:rPr>
          <w:color w:val="000000"/>
          <w:szCs w:val="20"/>
        </w:rPr>
        <w:t xml:space="preserve"> Physical Thing. </w:t>
      </w:r>
      <w:hyperlink w:anchor="_toc10784">
        <w:r w:rsidRPr="003539D9">
          <w:rPr>
            <w:rStyle w:val="Hyperlink1"/>
            <w:szCs w:val="20"/>
          </w:rPr>
          <w:t>P128</w:t>
        </w:r>
      </w:hyperlink>
      <w:r w:rsidRPr="003539D9">
        <w:rPr>
          <w:color w:val="000000"/>
          <w:szCs w:val="20"/>
        </w:rPr>
        <w:t xml:space="preserve"> carries (is carried by): </w:t>
      </w:r>
      <w:hyperlink w:anchor="_toc8683">
        <w:r w:rsidRPr="003539D9">
          <w:rPr>
            <w:rStyle w:val="Hyperlink1"/>
            <w:szCs w:val="20"/>
          </w:rPr>
          <w:t>E90</w:t>
        </w:r>
      </w:hyperlink>
      <w:r w:rsidRPr="003539D9">
        <w:rPr>
          <w:color w:val="000000"/>
          <w:szCs w:val="20"/>
        </w:rPr>
        <w:t xml:space="preserve"> Symbolic Object</w:t>
      </w:r>
    </w:p>
    <w:p w:rsidR="001B0862" w:rsidRPr="003539D9" w:rsidRDefault="001B0862" w:rsidP="001B0862">
      <w:pPr>
        <w:pStyle w:val="CRMDescriptionLabel"/>
      </w:pPr>
      <w:r w:rsidRPr="003539D9">
        <w:t>Superproperty of:</w:t>
      </w:r>
    </w:p>
    <w:p w:rsidR="001B0862" w:rsidRPr="003539D9" w:rsidRDefault="001B0862" w:rsidP="001B0862">
      <w:pPr>
        <w:pStyle w:val="CRMDomainRange"/>
      </w:pPr>
    </w:p>
    <w:p w:rsidR="001B0862" w:rsidRPr="003539D9" w:rsidRDefault="001B0862" w:rsidP="001B0862">
      <w:pPr>
        <w:pStyle w:val="CRMDescriptionLabel"/>
      </w:pPr>
      <w:r w:rsidRPr="003539D9">
        <w:t>Quantification:</w:t>
      </w:r>
    </w:p>
    <w:p w:rsidR="001B0862" w:rsidRPr="003539D9" w:rsidRDefault="001B0862" w:rsidP="001B0862">
      <w:pPr>
        <w:pStyle w:val="CRMQuantification"/>
        <w:rPr>
          <w:color w:val="000000"/>
        </w:rPr>
      </w:pPr>
      <w:r w:rsidRPr="003539D9">
        <w:rPr>
          <w:color w:val="000000"/>
        </w:rPr>
        <w:t>many to many (0,n:0,n)</w:t>
      </w:r>
    </w:p>
    <w:p w:rsidR="001B0862" w:rsidRPr="003539D9" w:rsidRDefault="001B0862" w:rsidP="001B0862">
      <w:pPr>
        <w:pStyle w:val="CRMDescriptionLabel"/>
      </w:pPr>
      <w:r w:rsidRPr="003539D9">
        <w:t>Scope note:</w:t>
      </w:r>
    </w:p>
    <w:p w:rsidR="001B0862" w:rsidRPr="003539D9" w:rsidRDefault="001B0862" w:rsidP="001B0862">
      <w:pPr>
        <w:pStyle w:val="CRMScopeNoteText"/>
      </w:pPr>
      <w:r w:rsidRPr="003539D9">
        <w:t xml:space="preserve">This property specifies that an instance of E22 Human-Made Object contains a recording of a particular instance of E100 Audio Item. The physical carrier (E22) bears the encoded audio pattern, making it possible to replay or reproduce the identifiable sound. Examples include vinyl records, CDs, or magnetic tapes. </w:t>
      </w:r>
    </w:p>
    <w:p w:rsidR="001B0862" w:rsidRPr="003539D9" w:rsidRDefault="001B0862" w:rsidP="001B0862">
      <w:pPr>
        <w:pStyle w:val="CRMDescriptionLabel"/>
      </w:pPr>
      <w:r w:rsidRPr="003539D9">
        <w:t>Full path:</w:t>
      </w:r>
    </w:p>
    <w:p w:rsidR="001B0862" w:rsidRPr="003539D9" w:rsidRDefault="001B0862" w:rsidP="001B0862">
      <w:pPr>
        <w:pStyle w:val="CRMFullPath"/>
      </w:pPr>
    </w:p>
    <w:p w:rsidR="001B0862" w:rsidRPr="003539D9" w:rsidRDefault="001B0862" w:rsidP="001B0862">
      <w:pPr>
        <w:pStyle w:val="CRMDescriptionLabel"/>
      </w:pPr>
      <w:r w:rsidRPr="003539D9">
        <w:t xml:space="preserve">Examples: </w:t>
      </w:r>
    </w:p>
    <w:p w:rsidR="001B0862" w:rsidRPr="003539D9" w:rsidRDefault="001B0862" w:rsidP="001B0862">
      <w:pPr>
        <w:pStyle w:val="CRMExample"/>
        <w:numPr>
          <w:ilvl w:val="0"/>
          <w:numId w:val="3"/>
        </w:numPr>
      </w:pPr>
      <w:r w:rsidRPr="003539D9">
        <w:t xml:space="preserve">A copy of the CD “The Bends” by Radiohead </w:t>
      </w:r>
      <w:r w:rsidRPr="003539D9">
        <w:rPr>
          <w:i/>
          <w:iCs/>
        </w:rPr>
        <w:t>bears recording</w:t>
      </w:r>
      <w:r w:rsidRPr="003539D9">
        <w:t xml:space="preserve"> of “Fake Plastic Trees” (E100)</w:t>
      </w:r>
    </w:p>
    <w:p w:rsidR="001B0862" w:rsidRPr="003539D9" w:rsidRDefault="001B0862" w:rsidP="001B0862">
      <w:pPr>
        <w:pStyle w:val="CRMDescriptionLabel"/>
      </w:pPr>
      <w:r w:rsidRPr="003539D9">
        <w:t xml:space="preserve">In first-order logic: </w:t>
      </w:r>
    </w:p>
    <w:p w:rsidR="001B0862" w:rsidRPr="003539D9" w:rsidRDefault="001B0862" w:rsidP="001B0862">
      <w:pPr>
        <w:pStyle w:val="CRMFirstOrderLogic"/>
      </w:pPr>
      <w:r w:rsidRPr="003539D9">
        <w:t xml:space="preserve">P201(x,y) </w:t>
      </w:r>
      <w:r w:rsidRPr="003539D9">
        <w:rPr>
          <w:rFonts w:ascii="Cambria Math" w:hAnsi="Cambria Math" w:cs="Cambria Math"/>
        </w:rPr>
        <w:t>⇒</w:t>
      </w:r>
      <w:r w:rsidRPr="003539D9">
        <w:t xml:space="preserve"> E22(x)</w:t>
      </w:r>
    </w:p>
    <w:p w:rsidR="001B0862" w:rsidRPr="003539D9" w:rsidRDefault="001B0862" w:rsidP="001B0862">
      <w:pPr>
        <w:pStyle w:val="CRMFirstOrderLogic"/>
      </w:pPr>
      <w:r w:rsidRPr="003539D9">
        <w:t xml:space="preserve">P201(x,y) </w:t>
      </w:r>
      <w:r w:rsidRPr="003539D9">
        <w:rPr>
          <w:rFonts w:ascii="Cambria Math" w:hAnsi="Cambria Math" w:cs="Cambria Math"/>
        </w:rPr>
        <w:t>⇒</w:t>
      </w:r>
      <w:r w:rsidRPr="003539D9">
        <w:t xml:space="preserve"> E100(y)</w:t>
      </w:r>
    </w:p>
    <w:p w:rsidR="001B0862" w:rsidRPr="003539D9" w:rsidRDefault="001B0862" w:rsidP="001B0862">
      <w:pPr>
        <w:pStyle w:val="Heading4"/>
      </w:pPr>
      <w:bookmarkStart w:id="17" w:name="_Pxx_sounds_typical"/>
      <w:bookmarkEnd w:id="17"/>
      <w:proofErr w:type="spellStart"/>
      <w:r w:rsidRPr="003539D9">
        <w:t>Pxx</w:t>
      </w:r>
      <w:proofErr w:type="spellEnd"/>
      <w:r w:rsidRPr="003539D9">
        <w:t xml:space="preserve"> sounds typical for (is typical sound of)</w:t>
      </w:r>
    </w:p>
    <w:p w:rsidR="001B0862" w:rsidRPr="003539D9" w:rsidRDefault="001B0862" w:rsidP="001B0862">
      <w:pPr>
        <w:rPr>
          <w:rFonts w:asciiTheme="minorBidi" w:hAnsiTheme="minorBidi" w:cstheme="minorBidi"/>
          <w:b/>
          <w:bCs/>
        </w:rPr>
      </w:pPr>
      <w:proofErr w:type="spellStart"/>
      <w:r w:rsidRPr="003539D9">
        <w:rPr>
          <w:rFonts w:asciiTheme="minorBidi" w:hAnsiTheme="minorBidi" w:cstheme="minorBidi"/>
          <w:b/>
          <w:bCs/>
        </w:rPr>
        <w:t>Pxx</w:t>
      </w:r>
      <w:proofErr w:type="spellEnd"/>
      <w:r w:rsidRPr="003539D9">
        <w:rPr>
          <w:rFonts w:asciiTheme="minorBidi" w:hAnsiTheme="minorBidi" w:cstheme="minorBidi"/>
          <w:b/>
          <w:bCs/>
        </w:rPr>
        <w:t xml:space="preserve"> sounds typical for (is typical sound of) </w:t>
      </w:r>
      <w:r w:rsidRPr="003539D9">
        <w:rPr>
          <w:rFonts w:asciiTheme="minorBidi" w:hAnsiTheme="minorBidi" w:cstheme="minorBidi"/>
        </w:rPr>
        <w:t>[will not be introduced in CRM]</w:t>
      </w:r>
    </w:p>
    <w:p w:rsidR="001B0862" w:rsidRPr="003539D9" w:rsidRDefault="001B0862" w:rsidP="001B0862">
      <w:pPr>
        <w:pStyle w:val="CRMDescriptionLabel"/>
      </w:pPr>
      <w:r w:rsidRPr="003539D9">
        <w:t>Domain:</w:t>
      </w:r>
    </w:p>
    <w:p w:rsidR="001B0862" w:rsidRPr="003539D9" w:rsidRDefault="001B0862" w:rsidP="001B0862">
      <w:pPr>
        <w:pStyle w:val="CRMDomainRange"/>
      </w:pPr>
      <w:r w:rsidRPr="003539D9">
        <w:t>E100 Audio Item</w:t>
      </w:r>
    </w:p>
    <w:p w:rsidR="001B0862" w:rsidRPr="003539D9" w:rsidRDefault="001B0862" w:rsidP="001B0862">
      <w:pPr>
        <w:pStyle w:val="CRMDescriptionLabel"/>
      </w:pPr>
      <w:r w:rsidRPr="003539D9">
        <w:t>Range:</w:t>
      </w:r>
    </w:p>
    <w:p w:rsidR="001B0862" w:rsidRPr="003539D9" w:rsidRDefault="001B0862" w:rsidP="001B0862">
      <w:pPr>
        <w:pStyle w:val="CRMDomainRange"/>
      </w:pPr>
      <w:r w:rsidRPr="003539D9">
        <w:t>E55 Type</w:t>
      </w:r>
    </w:p>
    <w:p w:rsidR="001B0862" w:rsidRPr="003539D9" w:rsidRDefault="001B0862" w:rsidP="001B0862">
      <w:pPr>
        <w:pStyle w:val="CRMDescriptionLabel"/>
      </w:pPr>
      <w:r w:rsidRPr="003539D9">
        <w:t xml:space="preserve">Subproperty of: </w:t>
      </w:r>
    </w:p>
    <w:p w:rsidR="001B0862" w:rsidRPr="003539D9" w:rsidRDefault="001B0862" w:rsidP="001B0862">
      <w:pPr>
        <w:pStyle w:val="CRMSuperSubProperty"/>
      </w:pPr>
      <w:r w:rsidRPr="003539D9">
        <w:t xml:space="preserve">E100 Audio Item. </w:t>
      </w:r>
      <w:proofErr w:type="spellStart"/>
      <w:r w:rsidRPr="003539D9">
        <w:t>Pxx</w:t>
      </w:r>
      <w:proofErr w:type="spellEnd"/>
      <w:r w:rsidRPr="003539D9">
        <w:t xml:space="preserve"> sounds typical for (is typical sound of): E55 Type </w:t>
      </w:r>
    </w:p>
    <w:p w:rsidR="001B0862" w:rsidRPr="003539D9" w:rsidRDefault="001B0862" w:rsidP="001B0862">
      <w:pPr>
        <w:pStyle w:val="CRMDescriptionLabel"/>
      </w:pPr>
      <w:r w:rsidRPr="003539D9">
        <w:t>Superproperty of:</w:t>
      </w:r>
    </w:p>
    <w:p w:rsidR="001B0862" w:rsidRPr="003539D9" w:rsidRDefault="001B0862" w:rsidP="001B0862">
      <w:pPr>
        <w:pStyle w:val="CRMDomainRange"/>
      </w:pPr>
    </w:p>
    <w:p w:rsidR="001B0862" w:rsidRPr="003539D9" w:rsidRDefault="001B0862" w:rsidP="001B0862">
      <w:pPr>
        <w:pStyle w:val="CRMDescriptionLabel"/>
      </w:pPr>
      <w:r w:rsidRPr="003539D9">
        <w:t>Quantification:</w:t>
      </w:r>
    </w:p>
    <w:p w:rsidR="001B0862" w:rsidRPr="003539D9" w:rsidRDefault="001B0862" w:rsidP="001B0862">
      <w:pPr>
        <w:pStyle w:val="CRMQuantification"/>
        <w:rPr>
          <w:color w:val="000000"/>
        </w:rPr>
      </w:pPr>
      <w:r w:rsidRPr="003539D9">
        <w:rPr>
          <w:color w:val="000000"/>
        </w:rPr>
        <w:t>many to many (0,n:0,n)</w:t>
      </w:r>
    </w:p>
    <w:p w:rsidR="001B0862" w:rsidRPr="003539D9" w:rsidRDefault="001B0862" w:rsidP="001B0862">
      <w:pPr>
        <w:pStyle w:val="CRMDescriptionLabel"/>
      </w:pPr>
      <w:r w:rsidRPr="003539D9">
        <w:t>Scope note:</w:t>
      </w:r>
    </w:p>
    <w:p w:rsidR="001B0862" w:rsidRPr="003539D9" w:rsidRDefault="001B0862" w:rsidP="001B0862">
      <w:pPr>
        <w:pStyle w:val="CRMScopeNoteText"/>
      </w:pPr>
      <w:r w:rsidRPr="003539D9">
        <w:t xml:space="preserve">This property indicates that particular audio item is recognized as a representative instance of a type of sound within a society or cultural context. This property allows the identification of audio items as bearing standard categories or types of sounds, such as “engine revving,” “bird call,” or “corporate sonic logo,”  without indicating also a particular instance. </w:t>
      </w:r>
    </w:p>
    <w:p w:rsidR="001B0862" w:rsidRPr="003539D9" w:rsidRDefault="001B0862" w:rsidP="001B0862">
      <w:pPr>
        <w:pStyle w:val="CRMDescriptionLabel"/>
      </w:pPr>
      <w:r w:rsidRPr="003539D9">
        <w:t>Full path:</w:t>
      </w:r>
    </w:p>
    <w:p w:rsidR="001B0862" w:rsidRPr="003539D9" w:rsidRDefault="001B0862" w:rsidP="001B0862">
      <w:pPr>
        <w:pStyle w:val="CRMFullPath"/>
      </w:pPr>
    </w:p>
    <w:p w:rsidR="001B0862" w:rsidRPr="003539D9" w:rsidRDefault="001B0862" w:rsidP="001B0862">
      <w:pPr>
        <w:pStyle w:val="CRMDescriptionLabel"/>
      </w:pPr>
      <w:r w:rsidRPr="003539D9">
        <w:lastRenderedPageBreak/>
        <w:t xml:space="preserve">Examples: </w:t>
      </w:r>
    </w:p>
    <w:p w:rsidR="001B0862" w:rsidRPr="003539D9" w:rsidRDefault="001B0862" w:rsidP="001B0862">
      <w:pPr>
        <w:pStyle w:val="CRMExample"/>
        <w:numPr>
          <w:ilvl w:val="0"/>
          <w:numId w:val="3"/>
        </w:numPr>
      </w:pPr>
      <w:r w:rsidRPr="003539D9">
        <w:t xml:space="preserve">“Fake Plastic Trees” (E100) by Radiohead </w:t>
      </w:r>
      <w:proofErr w:type="spellStart"/>
      <w:r w:rsidRPr="003539D9">
        <w:rPr>
          <w:i/>
          <w:iCs/>
        </w:rPr>
        <w:t>Pxx</w:t>
      </w:r>
      <w:proofErr w:type="spellEnd"/>
      <w:r w:rsidRPr="003539D9">
        <w:rPr>
          <w:i/>
          <w:iCs/>
        </w:rPr>
        <w:t xml:space="preserve"> sounds typical for</w:t>
      </w:r>
      <w:r w:rsidRPr="003539D9">
        <w:t xml:space="preserve"> Alternative Rock UK ca. 1990 (E55)</w:t>
      </w:r>
    </w:p>
    <w:p w:rsidR="001B0862" w:rsidRPr="003539D9" w:rsidRDefault="001B0862" w:rsidP="001B0862">
      <w:pPr>
        <w:pStyle w:val="CRMDescriptionLabel"/>
      </w:pPr>
      <w:r w:rsidRPr="003539D9">
        <w:t xml:space="preserve">In first-order logic: </w:t>
      </w:r>
    </w:p>
    <w:p w:rsidR="001B0862" w:rsidRPr="003539D9" w:rsidRDefault="001B0862" w:rsidP="001B0862">
      <w:pPr>
        <w:pStyle w:val="CRMFirstOrderLogic"/>
      </w:pPr>
      <w:r w:rsidRPr="003539D9">
        <w:t xml:space="preserve">Pxx1(x,y) </w:t>
      </w:r>
      <w:r w:rsidRPr="003539D9">
        <w:rPr>
          <w:rFonts w:ascii="Cambria Math" w:hAnsi="Cambria Math" w:cs="Cambria Math"/>
        </w:rPr>
        <w:t>⇒</w:t>
      </w:r>
      <w:r w:rsidRPr="003539D9">
        <w:t xml:space="preserve"> E100 (x)</w:t>
      </w:r>
    </w:p>
    <w:p w:rsidR="001B0862" w:rsidRPr="002B48F3" w:rsidRDefault="001B0862" w:rsidP="001B0862">
      <w:pPr>
        <w:pStyle w:val="CRMFirstOrderLogic"/>
        <w:rPr>
          <w:lang w:val="fr-FR"/>
        </w:rPr>
      </w:pPr>
      <w:proofErr w:type="spellStart"/>
      <w:r w:rsidRPr="002B48F3">
        <w:rPr>
          <w:lang w:val="fr-FR"/>
        </w:rPr>
        <w:t>Pxx</w:t>
      </w:r>
      <w:proofErr w:type="spellEnd"/>
      <w:r w:rsidRPr="002B48F3">
        <w:rPr>
          <w:lang w:val="fr-FR"/>
        </w:rPr>
        <w:t xml:space="preserve">(x,y) </w:t>
      </w:r>
      <w:r w:rsidRPr="002B48F3">
        <w:rPr>
          <w:rFonts w:ascii="Cambria Math" w:hAnsi="Cambria Math" w:cs="Cambria Math"/>
          <w:lang w:val="fr-FR"/>
        </w:rPr>
        <w:t>⇒</w:t>
      </w:r>
      <w:r w:rsidRPr="002B48F3">
        <w:rPr>
          <w:lang w:val="fr-FR"/>
        </w:rPr>
        <w:t xml:space="preserve"> E55(y)</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C42"/>
    <w:multiLevelType w:val="hybridMultilevel"/>
    <w:tmpl w:val="7BA4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4BE31915"/>
    <w:multiLevelType w:val="multilevel"/>
    <w:tmpl w:val="FDD81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2"/>
    <w:rsid w:val="001B0862"/>
    <w:rsid w:val="0055322F"/>
    <w:rsid w:val="006414F7"/>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9A46"/>
  <w15:chartTrackingRefBased/>
  <w15:docId w15:val="{DD8DA8C0-A068-49C4-8DAC-6A2A3150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862"/>
    <w:rPr>
      <w:lang w:val="en-GB"/>
    </w:rPr>
  </w:style>
  <w:style w:type="paragraph" w:styleId="Heading3">
    <w:name w:val="heading 3"/>
    <w:basedOn w:val="Normal"/>
    <w:next w:val="Normal"/>
    <w:link w:val="Heading3Char"/>
    <w:uiPriority w:val="9"/>
    <w:unhideWhenUsed/>
    <w:qFormat/>
    <w:rsid w:val="001B08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8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08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0862"/>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1B0862"/>
    <w:pPr>
      <w:ind w:left="720"/>
      <w:contextualSpacing/>
    </w:pPr>
  </w:style>
  <w:style w:type="character" w:styleId="Hyperlink">
    <w:name w:val="Hyperlink"/>
    <w:basedOn w:val="DefaultParagraphFont"/>
    <w:uiPriority w:val="99"/>
    <w:unhideWhenUsed/>
    <w:rsid w:val="001B0862"/>
    <w:rPr>
      <w:color w:val="0563C1" w:themeColor="hyperlink"/>
      <w:u w:val="single"/>
    </w:rPr>
  </w:style>
  <w:style w:type="character" w:customStyle="1" w:styleId="Heading4Char">
    <w:name w:val="Heading 4 Char"/>
    <w:basedOn w:val="DefaultParagraphFont"/>
    <w:link w:val="Heading4"/>
    <w:uiPriority w:val="9"/>
    <w:semiHidden/>
    <w:rsid w:val="001B0862"/>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B0862"/>
    <w:rPr>
      <w:rFonts w:asciiTheme="majorHAnsi" w:eastAsiaTheme="majorEastAsia" w:hAnsiTheme="majorHAnsi" w:cstheme="majorBidi"/>
      <w:color w:val="2F5496" w:themeColor="accent1" w:themeShade="BF"/>
      <w:lang w:val="en-GB"/>
    </w:rPr>
  </w:style>
  <w:style w:type="character" w:customStyle="1" w:styleId="Hyperlink1">
    <w:name w:val="Hyperlink1"/>
    <w:qFormat/>
    <w:rsid w:val="001B0862"/>
    <w:rPr>
      <w:color w:val="000000"/>
      <w:u w:val="dotted"/>
    </w:rPr>
  </w:style>
  <w:style w:type="paragraph" w:customStyle="1" w:styleId="CRMDescriptionLabel">
    <w:name w:val="CRM Description Label"/>
    <w:basedOn w:val="BodyText"/>
    <w:qFormat/>
    <w:rsid w:val="001B0862"/>
    <w:pPr>
      <w:keepNext/>
      <w:suppressAutoHyphens/>
      <w:spacing w:before="170" w:after="0"/>
    </w:pPr>
    <w:rPr>
      <w:rFonts w:ascii="Times New Roman" w:eastAsia="Noto Serif CJK SC" w:hAnsi="Times New Roman" w:cs="Lohit Devanagari"/>
      <w:kern w:val="2"/>
      <w:szCs w:val="24"/>
      <w:lang w:eastAsia="zh-CN" w:bidi="hi-IN"/>
    </w:rPr>
  </w:style>
  <w:style w:type="paragraph" w:customStyle="1" w:styleId="CRMDomainRange">
    <w:name w:val="CRM Domain Range"/>
    <w:basedOn w:val="BodyText"/>
    <w:qFormat/>
    <w:rsid w:val="001B0862"/>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1B0862"/>
    <w:pPr>
      <w:suppressAutoHyphens/>
      <w:spacing w:after="0"/>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1B0862"/>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Quantification">
    <w:name w:val="CRM Quantification"/>
    <w:basedOn w:val="BodyText"/>
    <w:qFormat/>
    <w:rsid w:val="001B0862"/>
    <w:pPr>
      <w:suppressAutoHyphens/>
      <w:spacing w:after="142"/>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1B0862"/>
    <w:pPr>
      <w:suppressAutoHyphens/>
      <w:spacing w:after="170"/>
      <w:ind w:left="1440"/>
    </w:pPr>
    <w:rPr>
      <w:rFonts w:ascii="Times New Roman" w:eastAsia="Noto Serif CJK SC" w:hAnsi="Times New Roman" w:cs="Lohit Devanagari"/>
      <w:kern w:val="2"/>
      <w:szCs w:val="24"/>
      <w:lang w:eastAsia="zh-CN" w:bidi="hi-IN"/>
    </w:rPr>
  </w:style>
  <w:style w:type="paragraph" w:customStyle="1" w:styleId="CRMSuperSubProperty">
    <w:name w:val="CRM Super Sub Property"/>
    <w:basedOn w:val="BodyText"/>
    <w:qFormat/>
    <w:rsid w:val="001B0862"/>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FullPath">
    <w:name w:val="CRM Full Path"/>
    <w:basedOn w:val="CRMScopeNoteText"/>
    <w:qFormat/>
    <w:rsid w:val="001B0862"/>
  </w:style>
  <w:style w:type="paragraph" w:styleId="BodyText">
    <w:name w:val="Body Text"/>
    <w:basedOn w:val="Normal"/>
    <w:link w:val="BodyTextChar"/>
    <w:uiPriority w:val="99"/>
    <w:semiHidden/>
    <w:unhideWhenUsed/>
    <w:rsid w:val="001B0862"/>
  </w:style>
  <w:style w:type="character" w:customStyle="1" w:styleId="BodyTextChar">
    <w:name w:val="Body Text Char"/>
    <w:basedOn w:val="DefaultParagraphFont"/>
    <w:link w:val="BodyText"/>
    <w:uiPriority w:val="99"/>
    <w:semiHidden/>
    <w:rsid w:val="001B0862"/>
    <w:rPr>
      <w:lang w:val="en-GB"/>
    </w:rPr>
  </w:style>
  <w:style w:type="character" w:styleId="UnresolvedMention">
    <w:name w:val="Unresolved Mention"/>
    <w:basedOn w:val="DefaultParagraphFont"/>
    <w:uiPriority w:val="99"/>
    <w:semiHidden/>
    <w:unhideWhenUsed/>
    <w:rsid w:val="001B0862"/>
    <w:rPr>
      <w:color w:val="605E5C"/>
      <w:shd w:val="clear" w:color="auto" w:fill="E1DFDD"/>
    </w:rPr>
  </w:style>
  <w:style w:type="character" w:styleId="FollowedHyperlink">
    <w:name w:val="FollowedHyperlink"/>
    <w:basedOn w:val="DefaultParagraphFont"/>
    <w:uiPriority w:val="99"/>
    <w:semiHidden/>
    <w:unhideWhenUsed/>
    <w:rsid w:val="001B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materieelerfgoed.be/nl/nieuws/recording-and-presentations-cidoc-ich-working-gro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2026-05-21T09:26:00Z</dcterms:created>
  <dcterms:modified xsi:type="dcterms:W3CDTF">2026-05-21T09:40:00Z</dcterms:modified>
</cp:coreProperties>
</file>