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F98" w:rsidRPr="003539D9" w:rsidRDefault="00BE5F98" w:rsidP="00BE5F98">
      <w:pPr>
        <w:pStyle w:val="Heading3"/>
      </w:pPr>
      <w:bookmarkStart w:id="0" w:name="_Toc229673805"/>
      <w:r w:rsidRPr="003539D9">
        <w:t>Issue 716: E24 Physical Human -Made Thing --notes on movability</w:t>
      </w:r>
      <w:bookmarkEnd w:id="0"/>
    </w:p>
    <w:p w:rsidR="00BE5F98" w:rsidRPr="003539D9" w:rsidRDefault="00BE5F98" w:rsidP="00BE5F98">
      <w:r w:rsidRPr="003539D9">
        <w:t xml:space="preserve">The SIG reviewed the proposal to swap the order of the paragraphs in E18 Physical Thing, to allow which instances of E18 </w:t>
      </w:r>
      <w:proofErr w:type="spellStart"/>
      <w:r w:rsidRPr="003539D9">
        <w:t>moveability</w:t>
      </w:r>
      <w:proofErr w:type="spellEnd"/>
      <w:r w:rsidRPr="003539D9">
        <w:t xml:space="preserve"> applies to before having to talk about E92 and E93. </w:t>
      </w:r>
    </w:p>
    <w:p w:rsidR="00BE5F98" w:rsidRPr="003539D9" w:rsidRDefault="00BE5F98" w:rsidP="00BE5F98">
      <w:r w:rsidRPr="003539D9">
        <w:t>The SIG did not approve the proposed placement of the paragraphs (1-</w:t>
      </w:r>
      <w:r w:rsidRPr="003539D9">
        <w:rPr>
          <w:b/>
          <w:bCs/>
          <w:color w:val="2F5496" w:themeColor="accent1" w:themeShade="BF"/>
        </w:rPr>
        <w:t>3-4</w:t>
      </w:r>
      <w:r w:rsidRPr="003539D9">
        <w:t>-</w:t>
      </w:r>
      <w:r w:rsidRPr="003539D9">
        <w:rPr>
          <w:b/>
          <w:bCs/>
          <w:color w:val="2F5496" w:themeColor="accent1" w:themeShade="BF"/>
        </w:rPr>
        <w:t>2</w:t>
      </w:r>
      <w:r w:rsidRPr="003539D9">
        <w:t xml:space="preserve">-5). The details can be found </w:t>
      </w:r>
      <w:hyperlink w:anchor="_Issue_716:_HW" w:history="1">
        <w:r>
          <w:rPr>
            <w:rStyle w:val="Hyperlink"/>
          </w:rPr>
          <w:t>below</w:t>
        </w:r>
      </w:hyperlink>
      <w:r w:rsidRPr="003539D9">
        <w:t xml:space="preserve">. </w:t>
      </w:r>
    </w:p>
    <w:p w:rsidR="00BE5F98" w:rsidRPr="003539D9" w:rsidRDefault="00BE5F98" w:rsidP="00BE5F98">
      <w:r w:rsidRPr="003539D9">
        <w:t>At the same time, the proposal by DO to redraft the scope note in plain(</w:t>
      </w:r>
      <w:proofErr w:type="spellStart"/>
      <w:r w:rsidRPr="003539D9">
        <w:t>er</w:t>
      </w:r>
      <w:proofErr w:type="spellEnd"/>
      <w:r w:rsidRPr="003539D9">
        <w:t xml:space="preserve">) English could not be decided on (it had not been proposed ahead of the meeting). However, participants and explicitly marked that referring interested readers to harmonized ontologies upon defining CRMbase concepts should be avoided, in the sense that CIDOC CRM is self-contained.  </w:t>
      </w:r>
    </w:p>
    <w:p w:rsidR="00BE5F98" w:rsidRPr="003539D9" w:rsidRDefault="00BE5F98" w:rsidP="00BE5F98">
      <w:r w:rsidRPr="003539D9">
        <w:rPr>
          <w:b/>
          <w:bCs/>
        </w:rPr>
        <w:t>Decision</w:t>
      </w:r>
      <w:r w:rsidRPr="003539D9">
        <w:t xml:space="preserve">: </w:t>
      </w:r>
    </w:p>
    <w:p w:rsidR="00BE5F98" w:rsidRPr="003539D9" w:rsidRDefault="00BE5F98" w:rsidP="00BE5F98">
      <w:bookmarkStart w:id="1" w:name="_GoBack"/>
      <w:r w:rsidRPr="003539D9">
        <w:t>The scope note that was admitted following the evote on 24 February will remain in CIDOC CRM v7.4. Any suggestions to redraft it must be formally brought to the SIG in a way that is consistent with our usual process.</w:t>
      </w:r>
      <w:bookmarkEnd w:id="1"/>
    </w:p>
    <w:p w:rsidR="00BE5F98" w:rsidRPr="00BE5F98" w:rsidRDefault="00BE5F98" w:rsidP="00BE5F98">
      <w:pPr>
        <w:pStyle w:val="Heading3"/>
      </w:pPr>
      <w:bookmarkStart w:id="2" w:name="_Toc229673849"/>
      <w:bookmarkStart w:id="3" w:name="_Issue_716:_HW"/>
      <w:bookmarkEnd w:id="3"/>
      <w:r w:rsidRPr="00BE5F98">
        <w:rPr>
          <w:lang w:val="en-US"/>
        </w:rPr>
        <w:t>Issue 716:</w:t>
      </w:r>
      <w:bookmarkEnd w:id="2"/>
      <w:r w:rsidRPr="00BE5F98">
        <w:rPr>
          <w:lang w:val="en-US"/>
        </w:rPr>
        <w:t xml:space="preserve"> </w:t>
      </w:r>
      <w:r>
        <w:t>HW submitted for the 62</w:t>
      </w:r>
      <w:r w:rsidRPr="001B0862">
        <w:rPr>
          <w:vertAlign w:val="superscript"/>
        </w:rPr>
        <w:t>nd</w:t>
      </w:r>
      <w:r>
        <w:t xml:space="preserve"> SIG Meeting </w:t>
      </w:r>
    </w:p>
    <w:p w:rsidR="00BE5F98" w:rsidRPr="003539D9" w:rsidRDefault="00BE5F98" w:rsidP="00BE5F98">
      <w:pPr>
        <w:rPr>
          <w:rFonts w:asciiTheme="minorBidi" w:hAnsiTheme="minorBidi" w:cstheme="minorBidi"/>
          <w:b/>
          <w:bCs/>
        </w:rPr>
      </w:pPr>
      <w:bookmarkStart w:id="4" w:name="_Toc63009474"/>
      <w:bookmarkStart w:id="5" w:name="_Toc69734465"/>
      <w:bookmarkStart w:id="6" w:name="_Toc70522498"/>
      <w:bookmarkStart w:id="7" w:name="_Toc71548550"/>
      <w:bookmarkStart w:id="8" w:name="_Toc71114706"/>
      <w:bookmarkStart w:id="9" w:name="_Toc216281120"/>
      <w:r w:rsidRPr="003539D9">
        <w:rPr>
          <w:rFonts w:asciiTheme="minorBidi" w:hAnsiTheme="minorBidi" w:cstheme="minorBidi"/>
          <w:b/>
          <w:bCs/>
        </w:rPr>
        <w:t>E18 Physical Thing</w:t>
      </w:r>
      <w:bookmarkEnd w:id="4"/>
      <w:bookmarkEnd w:id="5"/>
      <w:bookmarkEnd w:id="6"/>
      <w:bookmarkEnd w:id="7"/>
      <w:bookmarkEnd w:id="8"/>
      <w:bookmarkEnd w:id="9"/>
    </w:p>
    <w:p w:rsidR="00BE5F98" w:rsidRPr="003539D9" w:rsidRDefault="00BE5F98" w:rsidP="00BE5F98">
      <w:pPr>
        <w:pStyle w:val="CRMDescriptionLabel"/>
      </w:pPr>
      <w:r w:rsidRPr="003539D9">
        <w:t>Subclass of:</w:t>
      </w:r>
    </w:p>
    <w:p w:rsidR="00BE5F98" w:rsidRPr="003539D9" w:rsidRDefault="00BE5F98" w:rsidP="00BE5F98">
      <w:pPr>
        <w:pStyle w:val="CRMSuperSubClass"/>
      </w:pPr>
      <w:hyperlink w:anchor="_toc8467">
        <w:r w:rsidRPr="003539D9">
          <w:rPr>
            <w:rStyle w:val="Hyperlink1"/>
          </w:rPr>
          <w:t>E72</w:t>
        </w:r>
      </w:hyperlink>
      <w:r w:rsidRPr="003539D9">
        <w:t xml:space="preserve"> Legal Object</w:t>
      </w:r>
    </w:p>
    <w:p w:rsidR="00BE5F98" w:rsidRPr="003539D9" w:rsidRDefault="00BE5F98" w:rsidP="00BE5F98">
      <w:pPr>
        <w:pStyle w:val="CRMDescriptionLabel"/>
      </w:pPr>
      <w:r w:rsidRPr="003539D9">
        <w:t>Superclass of:</w:t>
      </w:r>
    </w:p>
    <w:p w:rsidR="00BE5F98" w:rsidRPr="003539D9" w:rsidRDefault="00BE5F98" w:rsidP="00BE5F98">
      <w:pPr>
        <w:pStyle w:val="CRMSuperSubClass"/>
      </w:pPr>
      <w:hyperlink w:anchor="_toc7697">
        <w:r w:rsidRPr="003539D9">
          <w:rPr>
            <w:rStyle w:val="Hyperlink1"/>
          </w:rPr>
          <w:t>E19</w:t>
        </w:r>
      </w:hyperlink>
      <w:r w:rsidRPr="003539D9">
        <w:t xml:space="preserve"> Physical Object</w:t>
      </w:r>
    </w:p>
    <w:p w:rsidR="00BE5F98" w:rsidRPr="003539D9" w:rsidRDefault="00BE5F98" w:rsidP="00BE5F98">
      <w:pPr>
        <w:pStyle w:val="CRMSuperSubClass"/>
      </w:pPr>
      <w:hyperlink w:anchor="_toc7765">
        <w:r w:rsidRPr="003539D9">
          <w:rPr>
            <w:rStyle w:val="Hyperlink1"/>
          </w:rPr>
          <w:t>E24</w:t>
        </w:r>
      </w:hyperlink>
      <w:r w:rsidRPr="003539D9">
        <w:t xml:space="preserve"> Physical Human-Made Thing</w:t>
      </w:r>
    </w:p>
    <w:p w:rsidR="00BE5F98" w:rsidRPr="003539D9" w:rsidRDefault="00BE5F98" w:rsidP="00BE5F98">
      <w:pPr>
        <w:pStyle w:val="CRMSuperSubClass"/>
      </w:pPr>
      <w:hyperlink w:anchor="_toc7807">
        <w:r w:rsidRPr="003539D9">
          <w:rPr>
            <w:rStyle w:val="Hyperlink1"/>
          </w:rPr>
          <w:t>E26</w:t>
        </w:r>
      </w:hyperlink>
      <w:r w:rsidRPr="003539D9">
        <w:t xml:space="preserve"> Physical Feature</w:t>
      </w:r>
    </w:p>
    <w:p w:rsidR="00BE5F98" w:rsidRPr="003539D9" w:rsidRDefault="00BE5F98" w:rsidP="00BE5F98">
      <w:pPr>
        <w:pStyle w:val="CRMDescriptionLabel"/>
      </w:pPr>
      <w:r w:rsidRPr="003539D9">
        <w:t>Scope note:</w:t>
      </w:r>
    </w:p>
    <w:p w:rsidR="00BE5F98" w:rsidRPr="003539D9" w:rsidRDefault="00BE5F98" w:rsidP="00BE5F98">
      <w:pPr>
        <w:pStyle w:val="CRMScopeNoteText"/>
      </w:pPr>
      <w:r w:rsidRPr="003539D9">
        <w:rPr>
          <w:b/>
          <w:bCs/>
          <w:color w:val="2F5496" w:themeColor="accent1" w:themeShade="BF"/>
        </w:rPr>
        <w:t>[1]</w:t>
      </w:r>
      <w:r w:rsidRPr="003539D9">
        <w:t xml:space="preserve"> This class comprises all persistent physical items with a relatively stable form, human-made or natural.</w:t>
      </w:r>
    </w:p>
    <w:p w:rsidR="00BE5F98" w:rsidRPr="003539D9" w:rsidRDefault="00BE5F98" w:rsidP="00BE5F98">
      <w:pPr>
        <w:pStyle w:val="CRMScopeNoteText"/>
      </w:pPr>
      <w:r w:rsidRPr="003539D9">
        <w:rPr>
          <w:b/>
          <w:bCs/>
          <w:color w:val="2F5496" w:themeColor="accent1" w:themeShade="BF"/>
        </w:rPr>
        <w:t xml:space="preserve">[2] </w:t>
      </w:r>
      <w:r w:rsidRPr="003539D9">
        <w:t xml:space="preserve">An instance of E18 Physical Thing occupies not only a particular geometric space at any instant of its existence,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For the purpose of more detailed descriptions of the presence of an instance of E18 Physical Thing in space and time it can be associated with its specific instance of E92 Spacetime Volume by the property </w:t>
      </w:r>
      <w:r w:rsidRPr="003539D9">
        <w:rPr>
          <w:i/>
        </w:rPr>
        <w:t>P196 defines (is defined by).</w:t>
      </w:r>
      <w:r w:rsidRPr="003539D9">
        <w:t xml:space="preserve"> </w:t>
      </w:r>
    </w:p>
    <w:p w:rsidR="00BE5F98" w:rsidRPr="003539D9" w:rsidRDefault="00BE5F98" w:rsidP="00BE5F98">
      <w:pPr>
        <w:pStyle w:val="CRMScopeNoteText"/>
      </w:pPr>
      <w:r w:rsidRPr="003539D9">
        <w:rPr>
          <w:b/>
          <w:bCs/>
          <w:color w:val="2F5496" w:themeColor="accent1" w:themeShade="BF"/>
        </w:rPr>
        <w:t xml:space="preserve">[3] </w:t>
      </w:r>
      <w:r w:rsidRPr="003539D9">
        <w:t>In general, many instances of this class cannot be moved as a whole independently from surrounding or attached matter, or be detached along well-defined boundaries in all dimensions, such as the Temple of Abu Simbel before its transfer.</w:t>
      </w:r>
    </w:p>
    <w:p w:rsidR="00BE5F98" w:rsidRPr="003539D9" w:rsidRDefault="00BE5F98" w:rsidP="00BE5F98">
      <w:pPr>
        <w:pStyle w:val="CRMScopeNoteText"/>
      </w:pPr>
      <w:r w:rsidRPr="003539D9">
        <w:rPr>
          <w:b/>
          <w:bCs/>
          <w:color w:val="2F5496" w:themeColor="accent1" w:themeShade="BF"/>
        </w:rPr>
        <w:t xml:space="preserve">[4] </w:t>
      </w:r>
      <w:r w:rsidRPr="003539D9">
        <w:t>Specifically, depending on the existence of natural boundaries of such things, the CIDOC CRM distinguishes the instances of E26 Physical Feature, such as holes, rivers, pieces of land etc., that are integral to the surrounding matter, from instances of E19 Physical Object, which have well defined boundaries in all dimensions. Therefore, the class E9 Move applies only to the latter as targets of a move.</w:t>
      </w:r>
    </w:p>
    <w:p w:rsidR="00BE5F98" w:rsidRPr="003539D9" w:rsidRDefault="00BE5F98" w:rsidP="00BE5F98">
      <w:pPr>
        <w:pStyle w:val="CRMScopeNoteText"/>
      </w:pPr>
      <w:r w:rsidRPr="003539D9">
        <w:rPr>
          <w:b/>
          <w:bCs/>
          <w:color w:val="2F5496" w:themeColor="accent1" w:themeShade="BF"/>
        </w:rPr>
        <w:t>[5]</w:t>
      </w:r>
      <w:r w:rsidRPr="003539D9">
        <w:rPr>
          <w:color w:val="2F5496" w:themeColor="accent1" w:themeShade="BF"/>
        </w:rPr>
        <w:t xml:space="preserve"> </w:t>
      </w:r>
      <w:r w:rsidRPr="003539D9">
        <w:t>The CIDOC CRM is generally not concerned with amounts of matter in fluid or gaseous states, as long as they are not confined in an identifiable way for an identifiable minimal time-span.</w:t>
      </w:r>
    </w:p>
    <w:p w:rsidR="00BE5F98" w:rsidRPr="003539D9" w:rsidRDefault="00BE5F98" w:rsidP="00BE5F98">
      <w:pPr>
        <w:pStyle w:val="CRMDescriptionLabel"/>
      </w:pPr>
      <w:r w:rsidRPr="003539D9">
        <w:lastRenderedPageBreak/>
        <w:t>Examples:</w:t>
      </w:r>
    </w:p>
    <w:p w:rsidR="00BE5F98" w:rsidRPr="003539D9" w:rsidRDefault="00BE5F98" w:rsidP="00BE5F98">
      <w:pPr>
        <w:pStyle w:val="CRMExample"/>
        <w:numPr>
          <w:ilvl w:val="0"/>
          <w:numId w:val="1"/>
        </w:numPr>
      </w:pPr>
      <w:r w:rsidRPr="003539D9">
        <w:t>the Cullinan Diamond (E19) (</w:t>
      </w:r>
      <w:proofErr w:type="spellStart"/>
      <w:r w:rsidRPr="003539D9">
        <w:t>Scarratt</w:t>
      </w:r>
      <w:proofErr w:type="spellEnd"/>
      <w:r w:rsidRPr="003539D9">
        <w:t xml:space="preserve"> and Shor, 2006)</w:t>
      </w:r>
    </w:p>
    <w:p w:rsidR="00BE5F98" w:rsidRPr="003539D9" w:rsidRDefault="00BE5F98" w:rsidP="00BE5F98">
      <w:pPr>
        <w:pStyle w:val="CRMExample"/>
        <w:numPr>
          <w:ilvl w:val="0"/>
          <w:numId w:val="1"/>
        </w:numPr>
      </w:pPr>
      <w:r w:rsidRPr="003539D9">
        <w:t>the cave “</w:t>
      </w:r>
      <w:proofErr w:type="spellStart"/>
      <w:r w:rsidRPr="003539D9">
        <w:t>Ideon</w:t>
      </w:r>
      <w:proofErr w:type="spellEnd"/>
      <w:r w:rsidRPr="003539D9">
        <w:t xml:space="preserve"> </w:t>
      </w:r>
      <w:proofErr w:type="spellStart"/>
      <w:r w:rsidRPr="003539D9">
        <w:t>Andron</w:t>
      </w:r>
      <w:proofErr w:type="spellEnd"/>
      <w:r w:rsidRPr="003539D9">
        <w:t>” in Crete (E26) (Smith, 1844-49)</w:t>
      </w:r>
    </w:p>
    <w:p w:rsidR="00BE5F98" w:rsidRPr="002B48F3" w:rsidRDefault="00BE5F98" w:rsidP="00BE5F98">
      <w:pPr>
        <w:pStyle w:val="CRMExample"/>
        <w:numPr>
          <w:ilvl w:val="0"/>
          <w:numId w:val="1"/>
        </w:numPr>
        <w:rPr>
          <w:lang w:val="it-IT"/>
        </w:rPr>
      </w:pPr>
      <w:r w:rsidRPr="002B48F3">
        <w:rPr>
          <w:lang w:val="it-IT"/>
        </w:rPr>
        <w:t>the Mona Lisa (E22) (Mohen, 2006)</w:t>
      </w:r>
    </w:p>
    <w:p w:rsidR="00BE5F98" w:rsidRPr="003539D9" w:rsidRDefault="00BE5F98" w:rsidP="00BE5F98">
      <w:pPr>
        <w:pStyle w:val="CRMDescriptionLabel"/>
      </w:pPr>
      <w:r w:rsidRPr="003539D9">
        <w:t xml:space="preserve">In first-order logic: </w:t>
      </w:r>
    </w:p>
    <w:p w:rsidR="00BE5F98" w:rsidRPr="003539D9" w:rsidRDefault="00BE5F98" w:rsidP="00BE5F98">
      <w:pPr>
        <w:pStyle w:val="CRMFirstOrderLogic"/>
      </w:pPr>
      <w:r w:rsidRPr="003539D9">
        <w:t xml:space="preserve">E18(x) </w:t>
      </w:r>
      <w:r w:rsidRPr="003539D9">
        <w:rPr>
          <w:rFonts w:ascii="Cambria Math" w:hAnsi="Cambria Math" w:cs="Cambria Math"/>
        </w:rPr>
        <w:t>⇒</w:t>
      </w:r>
      <w:r w:rsidRPr="003539D9">
        <w:t xml:space="preserve"> E72(x)</w:t>
      </w:r>
    </w:p>
    <w:p w:rsidR="00BE5F98" w:rsidRPr="003539D9" w:rsidRDefault="00BE5F98" w:rsidP="00BE5F98">
      <w:pPr>
        <w:pStyle w:val="CRMDescriptionLabel"/>
      </w:pPr>
      <w:r w:rsidRPr="003539D9">
        <w:t>Properties:</w:t>
      </w:r>
    </w:p>
    <w:p w:rsidR="00BE5F98" w:rsidRPr="003539D9" w:rsidRDefault="00BE5F98" w:rsidP="00BE5F98">
      <w:pPr>
        <w:pStyle w:val="CRMPropertyofEntity"/>
      </w:pPr>
      <w:hyperlink w:anchor="_toc9660">
        <w:r w:rsidRPr="003539D9">
          <w:rPr>
            <w:rStyle w:val="Hyperlink1"/>
          </w:rPr>
          <w:t>P44</w:t>
        </w:r>
      </w:hyperlink>
      <w:r w:rsidRPr="003539D9">
        <w:t xml:space="preserve"> has condition (is condition of): </w:t>
      </w:r>
      <w:hyperlink w:anchor="_toc7335">
        <w:r w:rsidRPr="003539D9">
          <w:rPr>
            <w:rStyle w:val="Hyperlink1"/>
          </w:rPr>
          <w:t>E3</w:t>
        </w:r>
      </w:hyperlink>
      <w:r w:rsidRPr="003539D9">
        <w:t xml:space="preserve"> Condition State</w:t>
      </w:r>
    </w:p>
    <w:p w:rsidR="00BE5F98" w:rsidRPr="003539D9" w:rsidRDefault="00BE5F98" w:rsidP="00BE5F98">
      <w:pPr>
        <w:pStyle w:val="CRMPropertyofEntity"/>
      </w:pPr>
      <w:hyperlink w:anchor="_toc9677">
        <w:r w:rsidRPr="003539D9">
          <w:rPr>
            <w:rStyle w:val="Hyperlink1"/>
          </w:rPr>
          <w:t>P45</w:t>
        </w:r>
      </w:hyperlink>
      <w:r w:rsidRPr="003539D9">
        <w:t xml:space="preserve"> consists of (is incorporated in): </w:t>
      </w:r>
      <w:hyperlink w:anchor="_toc8210">
        <w:r w:rsidRPr="003539D9">
          <w:rPr>
            <w:rStyle w:val="Hyperlink1"/>
          </w:rPr>
          <w:t>E57</w:t>
        </w:r>
      </w:hyperlink>
      <w:r w:rsidRPr="003539D9">
        <w:t xml:space="preserve"> Material</w:t>
      </w:r>
    </w:p>
    <w:p w:rsidR="00BE5F98" w:rsidRPr="003539D9" w:rsidRDefault="00BE5F98" w:rsidP="00BE5F98">
      <w:pPr>
        <w:pStyle w:val="CRMPropertyofEntity"/>
      </w:pPr>
      <w:hyperlink w:anchor="_toc9693">
        <w:r w:rsidRPr="003539D9">
          <w:rPr>
            <w:rStyle w:val="Hyperlink1"/>
          </w:rPr>
          <w:t>P46</w:t>
        </w:r>
      </w:hyperlink>
      <w:r w:rsidRPr="003539D9">
        <w:t xml:space="preserve"> is composed of (forms part of): </w:t>
      </w:r>
      <w:hyperlink w:anchor="_toc7666">
        <w:r w:rsidRPr="003539D9">
          <w:rPr>
            <w:rStyle w:val="Hyperlink1"/>
          </w:rPr>
          <w:t>E18</w:t>
        </w:r>
      </w:hyperlink>
      <w:r w:rsidRPr="003539D9">
        <w:t xml:space="preserve"> Physical Thing</w:t>
      </w:r>
    </w:p>
    <w:p w:rsidR="00BE5F98" w:rsidRPr="003539D9" w:rsidRDefault="00BE5F98" w:rsidP="00BE5F98">
      <w:pPr>
        <w:pStyle w:val="CRMPropertyofEntity"/>
      </w:pPr>
      <w:hyperlink w:anchor="_toc9738">
        <w:r w:rsidRPr="003539D9">
          <w:rPr>
            <w:rStyle w:val="Hyperlink1"/>
          </w:rPr>
          <w:t>P49</w:t>
        </w:r>
      </w:hyperlink>
      <w:r w:rsidRPr="003539D9">
        <w:t xml:space="preserve"> has former or current keeper (is former or current keeper of): </w:t>
      </w:r>
      <w:hyperlink w:anchor="_toc8021">
        <w:r w:rsidRPr="003539D9">
          <w:rPr>
            <w:rStyle w:val="Hyperlink1"/>
          </w:rPr>
          <w:t>E39</w:t>
        </w:r>
      </w:hyperlink>
      <w:r w:rsidRPr="003539D9">
        <w:t xml:space="preserve"> Actor</w:t>
      </w:r>
    </w:p>
    <w:p w:rsidR="00BE5F98" w:rsidRPr="003539D9" w:rsidRDefault="00BE5F98" w:rsidP="00BE5F98">
      <w:pPr>
        <w:pStyle w:val="CRMPropertyofEntity"/>
      </w:pPr>
      <w:hyperlink w:anchor="_toc9758">
        <w:r w:rsidRPr="003539D9">
          <w:rPr>
            <w:rStyle w:val="Hyperlink1"/>
          </w:rPr>
          <w:t>P50</w:t>
        </w:r>
      </w:hyperlink>
      <w:r w:rsidRPr="003539D9">
        <w:t xml:space="preserve"> has current keeper (is current keeper of): </w:t>
      </w:r>
      <w:hyperlink w:anchor="_toc8021">
        <w:r w:rsidRPr="003539D9">
          <w:rPr>
            <w:rStyle w:val="Hyperlink1"/>
          </w:rPr>
          <w:t>E39</w:t>
        </w:r>
      </w:hyperlink>
      <w:r w:rsidRPr="003539D9">
        <w:t xml:space="preserve"> Actor</w:t>
      </w:r>
    </w:p>
    <w:p w:rsidR="00BE5F98" w:rsidRPr="003539D9" w:rsidRDefault="00BE5F98" w:rsidP="00BE5F98">
      <w:pPr>
        <w:pStyle w:val="CRMPropertyofEntity"/>
      </w:pPr>
      <w:hyperlink w:anchor="_toc9524">
        <w:r w:rsidRPr="003539D9">
          <w:rPr>
            <w:rStyle w:val="Internett-lenke"/>
          </w:rPr>
          <w:t>P51</w:t>
        </w:r>
      </w:hyperlink>
      <w:r w:rsidRPr="003539D9">
        <w:t xml:space="preserve"> has former or current owner (is former or current owner of): </w:t>
      </w:r>
      <w:hyperlink w:anchor="_toc8021">
        <w:r w:rsidRPr="003539D9">
          <w:rPr>
            <w:rStyle w:val="Hyperlink1"/>
          </w:rPr>
          <w:t>E39</w:t>
        </w:r>
      </w:hyperlink>
      <w:r w:rsidRPr="003539D9">
        <w:t xml:space="preserve"> Actor</w:t>
      </w:r>
    </w:p>
    <w:p w:rsidR="00BE5F98" w:rsidRPr="003539D9" w:rsidRDefault="00BE5F98" w:rsidP="00BE5F98">
      <w:pPr>
        <w:pStyle w:val="CRMPropertyofEntity"/>
      </w:pPr>
      <w:hyperlink w:anchor="_toc9797">
        <w:r w:rsidRPr="003539D9">
          <w:rPr>
            <w:rStyle w:val="Hyperlink1"/>
          </w:rPr>
          <w:t>P52</w:t>
        </w:r>
      </w:hyperlink>
      <w:r w:rsidRPr="003539D9">
        <w:t xml:space="preserve"> has current owner (is current owner of): </w:t>
      </w:r>
      <w:hyperlink w:anchor="_toc8021">
        <w:r w:rsidRPr="003539D9">
          <w:rPr>
            <w:rStyle w:val="Hyperlink1"/>
          </w:rPr>
          <w:t>E39</w:t>
        </w:r>
      </w:hyperlink>
      <w:r w:rsidRPr="003539D9">
        <w:t xml:space="preserve"> Actor</w:t>
      </w:r>
    </w:p>
    <w:p w:rsidR="00BE5F98" w:rsidRPr="003539D9" w:rsidRDefault="00BE5F98" w:rsidP="00BE5F98">
      <w:pPr>
        <w:pStyle w:val="CRMPropertyofEntity"/>
      </w:pPr>
      <w:hyperlink w:anchor="_toc9818">
        <w:r w:rsidRPr="003539D9">
          <w:rPr>
            <w:rStyle w:val="Hyperlink1"/>
          </w:rPr>
          <w:t>P53</w:t>
        </w:r>
      </w:hyperlink>
      <w:r w:rsidRPr="003539D9">
        <w:t xml:space="preserve"> has former or current location (is former or current location of): </w:t>
      </w:r>
      <w:hyperlink w:anchor="_toc8120">
        <w:r w:rsidRPr="003539D9">
          <w:rPr>
            <w:rStyle w:val="Hyperlink1"/>
          </w:rPr>
          <w:t>E53</w:t>
        </w:r>
      </w:hyperlink>
      <w:r w:rsidRPr="003539D9">
        <w:t xml:space="preserve"> Place</w:t>
      </w:r>
    </w:p>
    <w:p w:rsidR="00BE5F98" w:rsidRPr="003539D9" w:rsidRDefault="00BE5F98" w:rsidP="00BE5F98">
      <w:pPr>
        <w:pStyle w:val="CRMPropertyofEntity"/>
      </w:pPr>
      <w:hyperlink w:anchor="_toc9911">
        <w:r w:rsidRPr="003539D9">
          <w:rPr>
            <w:rStyle w:val="Hyperlink1"/>
          </w:rPr>
          <w:t>P59</w:t>
        </w:r>
      </w:hyperlink>
      <w:r w:rsidRPr="003539D9">
        <w:t xml:space="preserve"> has section (is located on or within): </w:t>
      </w:r>
      <w:hyperlink w:anchor="_toc8120">
        <w:r w:rsidRPr="003539D9">
          <w:rPr>
            <w:rStyle w:val="Hyperlink1"/>
          </w:rPr>
          <w:t>E53</w:t>
        </w:r>
      </w:hyperlink>
      <w:r w:rsidRPr="003539D9">
        <w:t xml:space="preserve"> Place</w:t>
      </w:r>
    </w:p>
    <w:p w:rsidR="00BE5F98" w:rsidRPr="003539D9" w:rsidRDefault="00BE5F98" w:rsidP="00BE5F98">
      <w:pPr>
        <w:pStyle w:val="CRMPropertyofEntity"/>
      </w:pPr>
      <w:hyperlink w:anchor="_toc10833">
        <w:r w:rsidRPr="003539D9">
          <w:rPr>
            <w:rStyle w:val="Hyperlink1"/>
          </w:rPr>
          <w:t>P128</w:t>
        </w:r>
      </w:hyperlink>
      <w:r w:rsidRPr="003539D9">
        <w:t xml:space="preserve"> carries (is carried by): </w:t>
      </w:r>
      <w:hyperlink w:anchor="_toc8683">
        <w:r w:rsidRPr="003539D9">
          <w:rPr>
            <w:rStyle w:val="Hyperlink1"/>
          </w:rPr>
          <w:t>E90</w:t>
        </w:r>
      </w:hyperlink>
      <w:r w:rsidRPr="003539D9">
        <w:t xml:space="preserve"> Symbolic Object</w:t>
      </w:r>
    </w:p>
    <w:p w:rsidR="00BE5F98" w:rsidRPr="003539D9" w:rsidRDefault="00BE5F98" w:rsidP="00BE5F98">
      <w:pPr>
        <w:pStyle w:val="CRMPropertyofEntity"/>
      </w:pPr>
      <w:hyperlink w:anchor="_toc11302">
        <w:r w:rsidRPr="003539D9">
          <w:rPr>
            <w:rStyle w:val="Hyperlink1"/>
          </w:rPr>
          <w:t>P156</w:t>
        </w:r>
      </w:hyperlink>
      <w:r w:rsidRPr="003539D9">
        <w:t xml:space="preserve"> occupies (is occupied by): </w:t>
      </w:r>
      <w:hyperlink w:anchor="_toc8120">
        <w:r w:rsidRPr="003539D9">
          <w:rPr>
            <w:rStyle w:val="Hyperlink1"/>
          </w:rPr>
          <w:t>E53</w:t>
        </w:r>
      </w:hyperlink>
      <w:r w:rsidRPr="003539D9">
        <w:t xml:space="preserve"> Place</w:t>
      </w:r>
    </w:p>
    <w:p w:rsidR="00BE5F98" w:rsidRPr="003539D9" w:rsidRDefault="00BE5F98" w:rsidP="00BE5F98">
      <w:pPr>
        <w:pStyle w:val="CRMPropertyofEntity"/>
      </w:pPr>
      <w:hyperlink w:anchor="_toc11927">
        <w:r w:rsidRPr="003539D9">
          <w:rPr>
            <w:rStyle w:val="Hyperlink1"/>
          </w:rPr>
          <w:t>P196</w:t>
        </w:r>
      </w:hyperlink>
      <w:r w:rsidRPr="003539D9">
        <w:t xml:space="preserve"> defines (is defined by): </w:t>
      </w:r>
      <w:hyperlink w:anchor="_toc8723">
        <w:r w:rsidRPr="003539D9">
          <w:rPr>
            <w:rStyle w:val="Hyperlink1"/>
          </w:rPr>
          <w:t>E92</w:t>
        </w:r>
      </w:hyperlink>
      <w:r w:rsidRPr="003539D9">
        <w:t xml:space="preserve"> Spacetime Volume</w:t>
      </w:r>
    </w:p>
    <w:p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98"/>
    <w:rsid w:val="0055322F"/>
    <w:rsid w:val="006414F7"/>
    <w:rsid w:val="00BE5F98"/>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5CE9"/>
  <w15:chartTrackingRefBased/>
  <w15:docId w15:val="{33816DF9-9C38-46B0-A13D-A62363E0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F98"/>
    <w:rPr>
      <w:lang w:val="en-GB"/>
    </w:rPr>
  </w:style>
  <w:style w:type="paragraph" w:styleId="Heading3">
    <w:name w:val="heading 3"/>
    <w:basedOn w:val="Normal"/>
    <w:next w:val="Normal"/>
    <w:link w:val="Heading3Char"/>
    <w:uiPriority w:val="9"/>
    <w:unhideWhenUsed/>
    <w:qFormat/>
    <w:rsid w:val="00BE5F98"/>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F98"/>
    <w:rPr>
      <w:rFonts w:eastAsiaTheme="majorEastAsia" w:cstheme="majorBidi"/>
      <w:color w:val="2F5496" w:themeColor="accent1" w:themeShade="BF"/>
      <w:sz w:val="28"/>
      <w:szCs w:val="28"/>
      <w:lang w:val="en-GB"/>
    </w:rPr>
  </w:style>
  <w:style w:type="character" w:styleId="Hyperlink">
    <w:name w:val="Hyperlink"/>
    <w:basedOn w:val="DefaultParagraphFont"/>
    <w:uiPriority w:val="99"/>
    <w:unhideWhenUsed/>
    <w:rsid w:val="00BE5F98"/>
    <w:rPr>
      <w:color w:val="0563C1" w:themeColor="hyperlink"/>
      <w:u w:val="single"/>
    </w:rPr>
  </w:style>
  <w:style w:type="character" w:customStyle="1" w:styleId="Hyperlink1">
    <w:name w:val="Hyperlink1"/>
    <w:qFormat/>
    <w:rsid w:val="00BE5F98"/>
    <w:rPr>
      <w:color w:val="000000"/>
      <w:u w:val="dotted"/>
    </w:rPr>
  </w:style>
  <w:style w:type="character" w:customStyle="1" w:styleId="Internett-lenke">
    <w:name w:val="Internett-lenke"/>
    <w:qFormat/>
    <w:rsid w:val="00BE5F98"/>
    <w:rPr>
      <w:color w:val="000000"/>
      <w:u w:val="dotted"/>
    </w:rPr>
  </w:style>
  <w:style w:type="paragraph" w:customStyle="1" w:styleId="CRMDescriptionLabel">
    <w:name w:val="CRM Description Label"/>
    <w:basedOn w:val="BodyText"/>
    <w:qFormat/>
    <w:rsid w:val="00BE5F98"/>
    <w:pPr>
      <w:keepNext/>
      <w:suppressAutoHyphens/>
      <w:spacing w:before="170" w:after="0"/>
    </w:pPr>
    <w:rPr>
      <w:rFonts w:ascii="Times New Roman" w:eastAsia="Noto Serif CJK SC" w:hAnsi="Times New Roman" w:cs="Lohit Devanagari"/>
      <w:kern w:val="2"/>
      <w:szCs w:val="24"/>
      <w:lang w:eastAsia="zh-CN" w:bidi="hi-IN"/>
    </w:rPr>
  </w:style>
  <w:style w:type="paragraph" w:customStyle="1" w:styleId="CRMExample">
    <w:name w:val="CRM Example"/>
    <w:basedOn w:val="BodyText"/>
    <w:qFormat/>
    <w:rsid w:val="00BE5F98"/>
    <w:pPr>
      <w:suppressAutoHyphens/>
      <w:spacing w:after="0"/>
      <w:ind w:left="1440" w:hanging="283"/>
    </w:pPr>
    <w:rPr>
      <w:rFonts w:ascii="Times New Roman" w:eastAsia="Noto Serif CJK SC" w:hAnsi="Times New Roman" w:cs="Lohit Devanagari"/>
      <w:kern w:val="2"/>
      <w:szCs w:val="24"/>
      <w:lang w:eastAsia="zh-CN" w:bidi="hi-IN"/>
    </w:rPr>
  </w:style>
  <w:style w:type="paragraph" w:customStyle="1" w:styleId="CRMFirstOrderLogic">
    <w:name w:val="CRM First Order Logic"/>
    <w:basedOn w:val="BodyText"/>
    <w:qFormat/>
    <w:rsid w:val="00BE5F98"/>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ScopeNoteText">
    <w:name w:val="CRM Scope Note Text"/>
    <w:basedOn w:val="BodyText"/>
    <w:qFormat/>
    <w:rsid w:val="00BE5F98"/>
    <w:pPr>
      <w:suppressAutoHyphens/>
      <w:spacing w:after="170"/>
      <w:ind w:left="1440"/>
    </w:pPr>
    <w:rPr>
      <w:rFonts w:ascii="Times New Roman" w:eastAsia="Noto Serif CJK SC" w:hAnsi="Times New Roman" w:cs="Lohit Devanagari"/>
      <w:kern w:val="2"/>
      <w:szCs w:val="24"/>
      <w:lang w:eastAsia="zh-CN" w:bidi="hi-IN"/>
    </w:rPr>
  </w:style>
  <w:style w:type="paragraph" w:customStyle="1" w:styleId="CRMPropertyofEntity">
    <w:name w:val="CRM Property of Entity"/>
    <w:basedOn w:val="BodyText"/>
    <w:qFormat/>
    <w:rsid w:val="00BE5F98"/>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SuperSubClass">
    <w:name w:val="CRM Super Sub Class"/>
    <w:basedOn w:val="BodyText"/>
    <w:qFormat/>
    <w:rsid w:val="00BE5F98"/>
    <w:pPr>
      <w:suppressAutoHyphens/>
      <w:spacing w:after="0"/>
      <w:ind w:left="1440"/>
    </w:pPr>
    <w:rPr>
      <w:rFonts w:ascii="Times New Roman" w:eastAsia="Noto Serif CJK SC" w:hAnsi="Times New Roman" w:cs="Lohit Devanagari"/>
      <w:kern w:val="2"/>
      <w:szCs w:val="24"/>
      <w:lang w:eastAsia="zh-CN" w:bidi="hi-IN"/>
    </w:rPr>
  </w:style>
  <w:style w:type="paragraph" w:styleId="BodyText">
    <w:name w:val="Body Text"/>
    <w:basedOn w:val="Normal"/>
    <w:link w:val="BodyTextChar"/>
    <w:uiPriority w:val="99"/>
    <w:semiHidden/>
    <w:unhideWhenUsed/>
    <w:rsid w:val="00BE5F98"/>
  </w:style>
  <w:style w:type="character" w:customStyle="1" w:styleId="BodyTextChar">
    <w:name w:val="Body Text Char"/>
    <w:basedOn w:val="DefaultParagraphFont"/>
    <w:link w:val="BodyText"/>
    <w:uiPriority w:val="99"/>
    <w:semiHidden/>
    <w:rsid w:val="00BE5F98"/>
    <w:rPr>
      <w:lang w:val="en-GB"/>
    </w:rPr>
  </w:style>
  <w:style w:type="character" w:styleId="FollowedHyperlink">
    <w:name w:val="FollowedHyperlink"/>
    <w:basedOn w:val="DefaultParagraphFont"/>
    <w:uiPriority w:val="99"/>
    <w:semiHidden/>
    <w:unhideWhenUsed/>
    <w:rsid w:val="00BE5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2026-05-21T09:42:00Z</dcterms:created>
  <dcterms:modified xsi:type="dcterms:W3CDTF">2026-05-21T09:46:00Z</dcterms:modified>
</cp:coreProperties>
</file>