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7DFDC" w14:textId="77777777" w:rsidR="0037714F" w:rsidRDefault="0037714F" w:rsidP="0037714F">
      <w:pPr>
        <w:pStyle w:val="Heading3"/>
      </w:pPr>
      <w:bookmarkStart w:id="0" w:name="_Toc216261832"/>
      <w:r>
        <w:t>Issue 657: P32 used general technique is not a subproperty of P125 used object of type</w:t>
      </w:r>
      <w:bookmarkEnd w:id="0"/>
    </w:p>
    <w:p w14:paraId="3483BAC3" w14:textId="77777777" w:rsidR="0037714F" w:rsidRDefault="0037714F" w:rsidP="0037714F">
      <w:r w:rsidRPr="00627433">
        <w:rPr>
          <w:b/>
        </w:rPr>
        <w:t>Decision</w:t>
      </w:r>
      <w:r>
        <w:t>:</w:t>
      </w:r>
    </w:p>
    <w:p w14:paraId="3CA09B63" w14:textId="77777777" w:rsidR="0037714F" w:rsidRDefault="0037714F" w:rsidP="0037714F">
      <w:r>
        <w:t xml:space="preserve">The SIG resolved to </w:t>
      </w:r>
    </w:p>
    <w:p w14:paraId="787608EB" w14:textId="77777777" w:rsidR="0037714F" w:rsidRDefault="0037714F" w:rsidP="0037714F">
      <w:pPr>
        <w:pStyle w:val="ListParagraph"/>
        <w:numPr>
          <w:ilvl w:val="0"/>
          <w:numId w:val="1"/>
        </w:numPr>
      </w:pPr>
      <w:r>
        <w:t>disengage</w:t>
      </w:r>
      <w:r w:rsidRPr="00627433">
        <w:rPr>
          <w:i/>
        </w:rPr>
        <w:t xml:space="preserve"> P32 used general technique </w:t>
      </w:r>
      <w:r>
        <w:t xml:space="preserve">from </w:t>
      </w:r>
      <w:r w:rsidRPr="00627433">
        <w:rPr>
          <w:i/>
        </w:rPr>
        <w:t>P125 used object of type</w:t>
      </w:r>
    </w:p>
    <w:p w14:paraId="6341050C" w14:textId="77777777" w:rsidR="0037714F" w:rsidRDefault="0037714F" w:rsidP="0037714F">
      <w:pPr>
        <w:pStyle w:val="ListParagraph"/>
        <w:numPr>
          <w:ilvl w:val="0"/>
          <w:numId w:val="1"/>
        </w:numPr>
      </w:pPr>
      <w:r>
        <w:t xml:space="preserve">to declare it a subclass of </w:t>
      </w:r>
      <w:r w:rsidRPr="00627433">
        <w:rPr>
          <w:i/>
        </w:rPr>
        <w:t>P2 has type</w:t>
      </w:r>
      <w:r>
        <w:t xml:space="preserve">, </w:t>
      </w:r>
    </w:p>
    <w:p w14:paraId="506B89EE" w14:textId="77777777" w:rsidR="0037714F" w:rsidRDefault="0037714F" w:rsidP="0037714F">
      <w:pPr>
        <w:pStyle w:val="ListParagraph"/>
        <w:numPr>
          <w:ilvl w:val="0"/>
          <w:numId w:val="1"/>
        </w:numPr>
      </w:pPr>
      <w:r>
        <w:t xml:space="preserve">admit the example by TV </w:t>
      </w:r>
    </w:p>
    <w:p w14:paraId="489750DE" w14:textId="078C7AD0" w:rsidR="0037714F" w:rsidRDefault="0037714F" w:rsidP="0037714F">
      <w:r>
        <w:t xml:space="preserve">A summary of the changes can be found </w:t>
      </w:r>
      <w:r>
        <w:fldChar w:fldCharType="begin"/>
      </w:r>
      <w:r>
        <w:instrText xml:space="preserve"> HYPERLINK  \l "_NEW_DEFINITION" </w:instrText>
      </w:r>
      <w:r>
        <w:fldChar w:fldCharType="separate"/>
      </w:r>
      <w:r w:rsidRPr="0037714F">
        <w:rPr>
          <w:rStyle w:val="Hyperlink"/>
        </w:rPr>
        <w:t>below</w:t>
      </w:r>
      <w:r>
        <w:fldChar w:fldCharType="end"/>
      </w:r>
      <w:bookmarkStart w:id="1" w:name="_GoBack"/>
      <w:bookmarkEnd w:id="1"/>
      <w:r>
        <w:t xml:space="preserve">. They will appear in the next release of CIDOC CRM. </w:t>
      </w:r>
    </w:p>
    <w:p w14:paraId="12375842" w14:textId="3EAB3F98" w:rsidR="0055322F" w:rsidRDefault="0037714F" w:rsidP="0037714F">
      <w:pPr>
        <w:rPr>
          <w:b/>
          <w:i/>
        </w:rPr>
      </w:pPr>
      <w:r w:rsidRPr="00627433">
        <w:rPr>
          <w:b/>
          <w:i/>
        </w:rPr>
        <w:t>Issue closed</w:t>
      </w:r>
    </w:p>
    <w:p w14:paraId="5D895329" w14:textId="77777777" w:rsidR="0037714F" w:rsidRDefault="0037714F" w:rsidP="0037714F">
      <w:pPr>
        <w:pStyle w:val="Heading4"/>
      </w:pPr>
      <w:bookmarkStart w:id="2" w:name="_NEW_DEFINITION"/>
      <w:bookmarkEnd w:id="2"/>
      <w:r>
        <w:t>NEW DEFINITION</w:t>
      </w:r>
    </w:p>
    <w:p w14:paraId="78484640" w14:textId="77777777" w:rsidR="0037714F" w:rsidRPr="00910C87" w:rsidRDefault="0037714F" w:rsidP="0037714F">
      <w:pPr>
        <w:rPr>
          <w:rFonts w:ascii="Arial" w:hAnsi="Arial" w:cs="Arial"/>
          <w:b/>
        </w:rPr>
      </w:pPr>
      <w:r w:rsidRPr="00910C87">
        <w:rPr>
          <w:rFonts w:ascii="Arial" w:hAnsi="Arial" w:cs="Arial"/>
          <w:b/>
        </w:rPr>
        <w:t>P32 used general technique (was technique of)</w:t>
      </w:r>
    </w:p>
    <w:p w14:paraId="07BBF6D8" w14:textId="77777777" w:rsidR="0037714F" w:rsidRPr="00910C87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>Domain:</w:t>
      </w:r>
    </w:p>
    <w:p w14:paraId="50F97E08" w14:textId="77777777" w:rsidR="0037714F" w:rsidRPr="00910C87" w:rsidRDefault="0037714F" w:rsidP="0037714F">
      <w:pPr>
        <w:suppressAutoHyphens/>
        <w:spacing w:after="0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hyperlink w:anchor="_toc7412">
        <w:r w:rsidRPr="00910C87">
          <w:rPr>
            <w:rFonts w:ascii="Times New Roman" w:eastAsia="Noto Serif CJK SC" w:hAnsi="Times New Roman" w:cs="Lohit Devanagari"/>
            <w:color w:val="000000"/>
            <w:kern w:val="2"/>
            <w:szCs w:val="24"/>
            <w:u w:val="dotted"/>
            <w:lang w:val="en-GB" w:eastAsia="zh-CN" w:bidi="hi-IN"/>
          </w:rPr>
          <w:t>E7</w:t>
        </w:r>
      </w:hyperlink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 Activity</w:t>
      </w:r>
    </w:p>
    <w:p w14:paraId="0E64D047" w14:textId="77777777" w:rsidR="0037714F" w:rsidRPr="00910C87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>Range:</w:t>
      </w:r>
    </w:p>
    <w:p w14:paraId="4C96DF53" w14:textId="77777777" w:rsidR="0037714F" w:rsidRPr="00910C87" w:rsidRDefault="0037714F" w:rsidP="0037714F">
      <w:pPr>
        <w:suppressAutoHyphens/>
        <w:spacing w:after="0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hyperlink w:anchor="_toc8153">
        <w:r w:rsidRPr="00910C87">
          <w:rPr>
            <w:rFonts w:ascii="Times New Roman" w:eastAsia="Noto Serif CJK SC" w:hAnsi="Times New Roman" w:cs="Lohit Devanagari"/>
            <w:color w:val="000000"/>
            <w:kern w:val="2"/>
            <w:u w:val="dotted"/>
            <w:lang w:val="en-GB" w:eastAsia="zh-CN" w:bidi="hi-IN"/>
          </w:rPr>
          <w:t>E55</w:t>
        </w:r>
      </w:hyperlink>
      <w:r w:rsidRPr="00910C87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 xml:space="preserve"> Type</w:t>
      </w:r>
    </w:p>
    <w:p w14:paraId="53026172" w14:textId="77777777" w:rsidR="0037714F" w:rsidRPr="00910C87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 xml:space="preserve">Subproperty of: </w:t>
      </w:r>
    </w:p>
    <w:p w14:paraId="1D613AA4" w14:textId="77777777" w:rsidR="0037714F" w:rsidRPr="00910C87" w:rsidRDefault="0037714F" w:rsidP="0037714F">
      <w:pPr>
        <w:suppressAutoHyphens/>
        <w:spacing w:after="0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hyperlink w:anchor="_toc7412">
        <w:r>
          <w:rPr>
            <w:rFonts w:ascii="Times New Roman" w:eastAsia="Noto Serif CJK SC" w:hAnsi="Times New Roman" w:cs="Lohit Devanagari"/>
            <w:color w:val="000000"/>
            <w:kern w:val="2"/>
            <w:u w:val="dotted"/>
            <w:lang w:val="en-GB" w:eastAsia="zh-CN" w:bidi="hi-IN"/>
          </w:rPr>
          <w:t>E1</w:t>
        </w:r>
      </w:hyperlink>
      <w:r w:rsidRPr="00910C87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 xml:space="preserve"> </w:t>
      </w:r>
      <w:r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>CRM Entity</w:t>
      </w:r>
      <w:r w:rsidRPr="00910C87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 xml:space="preserve">. </w:t>
      </w: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>P2 has type (is type of): E55 Type</w:t>
      </w:r>
    </w:p>
    <w:p w14:paraId="36137275" w14:textId="77777777" w:rsidR="0037714F" w:rsidRPr="00910C87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>Quantification:</w:t>
      </w:r>
    </w:p>
    <w:p w14:paraId="231AB3EB" w14:textId="77777777" w:rsidR="0037714F" w:rsidRPr="00910C87" w:rsidRDefault="0037714F" w:rsidP="0037714F">
      <w:pPr>
        <w:suppressAutoHyphens/>
        <w:spacing w:after="142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>many to many (0,n:0,n)</w:t>
      </w:r>
    </w:p>
    <w:p w14:paraId="527507CD" w14:textId="77777777" w:rsidR="0037714F" w:rsidRPr="00910C87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>Scope note:</w:t>
      </w:r>
    </w:p>
    <w:p w14:paraId="6EB91D9C" w14:textId="77777777" w:rsidR="0037714F" w:rsidRPr="00910C87" w:rsidRDefault="0037714F" w:rsidP="0037714F">
      <w:pPr>
        <w:suppressAutoHyphens/>
        <w:spacing w:after="170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This property identifies the technique or method, modelled as an instance of E55 Type, that was employed in an instance of E7 Activity. </w:t>
      </w:r>
    </w:p>
    <w:p w14:paraId="4EB1D737" w14:textId="77777777" w:rsidR="0037714F" w:rsidRPr="00910C87" w:rsidRDefault="0037714F" w:rsidP="0037714F">
      <w:pPr>
        <w:suppressAutoHyphens/>
        <w:spacing w:after="170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These techniques should be drawn from an external E55 Type hierarchy of consistent terminology of general techniques or methods such as embroidery, oil-painting, carbon dating, etc. Specific documented techniques should be described as instances of E29 Design or Procedure. </w:t>
      </w:r>
    </w:p>
    <w:p w14:paraId="179A4867" w14:textId="77777777" w:rsidR="0037714F" w:rsidRPr="00910C87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>Examples:</w:t>
      </w:r>
      <w:r w:rsidRPr="00910C87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ab/>
      </w:r>
    </w:p>
    <w:p w14:paraId="14D84EB8" w14:textId="77777777" w:rsidR="0037714F" w:rsidRDefault="0037714F" w:rsidP="0037714F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The ornamentation of silver cup 113 (E11) </w:t>
      </w:r>
      <w:r w:rsidRPr="00910C87">
        <w:rPr>
          <w:rFonts w:ascii="Times New Roman" w:eastAsia="Noto Serif CJK SC" w:hAnsi="Times New Roman" w:cs="Lohit Devanagari"/>
          <w:i/>
          <w:kern w:val="2"/>
          <w:szCs w:val="24"/>
          <w:lang w:val="en-GB" w:eastAsia="zh-CN" w:bidi="hi-IN"/>
        </w:rPr>
        <w:t>used general technique</w:t>
      </w: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 gold-plating (E55). [A Design or Procedure type] (fictitious)</w:t>
      </w:r>
    </w:p>
    <w:p w14:paraId="49509E44" w14:textId="77777777" w:rsidR="0037714F" w:rsidRPr="00910C87" w:rsidRDefault="0037714F" w:rsidP="0037714F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The </w:t>
      </w:r>
      <w:proofErr w:type="spellStart"/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>endbanding</w:t>
      </w:r>
      <w:proofErr w:type="spellEnd"/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 of codex S.Ar.20 (E11) </w:t>
      </w:r>
      <w:r w:rsidRPr="00910C87">
        <w:rPr>
          <w:rFonts w:ascii="Times New Roman" w:eastAsia="Noto Serif CJK SC" w:hAnsi="Times New Roman" w:cs="Lohit Devanagari"/>
          <w:i/>
          <w:kern w:val="2"/>
          <w:szCs w:val="24"/>
          <w:lang w:val="en-GB" w:eastAsia="zh-CN" w:bidi="hi-IN"/>
        </w:rPr>
        <w:t>used general technique</w:t>
      </w: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 blanket-stitch-with-core as primary component (E55). (</w:t>
      </w:r>
      <w:proofErr w:type="spellStart"/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>Boudalis</w:t>
      </w:r>
      <w:proofErr w:type="spellEnd"/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>, 2023)</w:t>
      </w:r>
    </w:p>
    <w:p w14:paraId="34D48419" w14:textId="77777777" w:rsidR="0037714F" w:rsidRPr="00910C87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>In first-order logic:</w:t>
      </w:r>
    </w:p>
    <w:p w14:paraId="57DC946A" w14:textId="77777777" w:rsidR="0037714F" w:rsidRPr="00910C87" w:rsidRDefault="0037714F" w:rsidP="0037714F">
      <w:pPr>
        <w:suppressAutoHyphens/>
        <w:spacing w:after="0"/>
        <w:ind w:left="1440"/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</w:pPr>
      <w:r w:rsidRPr="00910C87"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  <w:t xml:space="preserve">P32(x,y) </w:t>
      </w:r>
      <w:r w:rsidRPr="00910C87">
        <w:rPr>
          <w:rFonts w:ascii="Cambria Math" w:eastAsia="Noto Serif CJK SC" w:hAnsi="Cambria Math" w:cs="Cambria Math"/>
          <w:kern w:val="2"/>
          <w:szCs w:val="24"/>
          <w:lang w:val="fr-FR" w:eastAsia="zh-CN" w:bidi="hi-IN"/>
        </w:rPr>
        <w:t>⇒</w:t>
      </w:r>
      <w:r w:rsidRPr="00910C87"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  <w:t xml:space="preserve"> E7(x)</w:t>
      </w:r>
    </w:p>
    <w:p w14:paraId="44367E79" w14:textId="77777777" w:rsidR="0037714F" w:rsidRPr="00910C87" w:rsidRDefault="0037714F" w:rsidP="0037714F">
      <w:pPr>
        <w:suppressAutoHyphens/>
        <w:spacing w:after="0"/>
        <w:ind w:left="1440"/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</w:pPr>
      <w:r w:rsidRPr="00910C87"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  <w:t xml:space="preserve">P32(x,y) </w:t>
      </w:r>
      <w:r w:rsidRPr="00910C87">
        <w:rPr>
          <w:rFonts w:ascii="Cambria Math" w:eastAsia="Noto Serif CJK SC" w:hAnsi="Cambria Math" w:cs="Cambria Math"/>
          <w:kern w:val="2"/>
          <w:szCs w:val="24"/>
          <w:lang w:val="fr-FR" w:eastAsia="zh-CN" w:bidi="hi-IN"/>
        </w:rPr>
        <w:t>⇒</w:t>
      </w:r>
      <w:r w:rsidRPr="00910C87"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  <w:t xml:space="preserve"> E55(y) </w:t>
      </w:r>
    </w:p>
    <w:p w14:paraId="799ECB3C" w14:textId="77777777" w:rsidR="0037714F" w:rsidRDefault="0037714F" w:rsidP="0037714F">
      <w:pPr>
        <w:ind w:left="720" w:firstLine="72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P32(x,y) </w:t>
      </w:r>
      <w:r w:rsidRPr="00910C87">
        <w:rPr>
          <w:rFonts w:ascii="Cambria Math" w:eastAsia="Noto Serif CJK SC" w:hAnsi="Cambria Math" w:cs="Cambria Math"/>
          <w:kern w:val="2"/>
          <w:szCs w:val="24"/>
          <w:lang w:val="en-GB" w:eastAsia="zh-CN" w:bidi="hi-IN"/>
        </w:rPr>
        <w:t>⇒</w:t>
      </w:r>
      <w:r w:rsidRPr="00910C87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 P2(x,y)</w:t>
      </w:r>
    </w:p>
    <w:p w14:paraId="5BE7B07C" w14:textId="77777777" w:rsidR="0037714F" w:rsidRDefault="0037714F" w:rsidP="0037714F">
      <w:pPr>
        <w:pStyle w:val="Heading5"/>
      </w:pPr>
      <w:r>
        <w:t xml:space="preserve">Bibliographic Reference: </w:t>
      </w:r>
    </w:p>
    <w:p w14:paraId="626A7044" w14:textId="77777777" w:rsidR="0037714F" w:rsidRPr="00910C87" w:rsidRDefault="0037714F" w:rsidP="0037714F">
      <w:pPr>
        <w:pStyle w:val="ListParagraph"/>
        <w:numPr>
          <w:ilvl w:val="0"/>
          <w:numId w:val="2"/>
        </w:numPr>
      </w:pPr>
      <w:proofErr w:type="spellStart"/>
      <w:r w:rsidRPr="00910C87">
        <w:t>Boudalis</w:t>
      </w:r>
      <w:proofErr w:type="spellEnd"/>
      <w:r w:rsidRPr="00910C87">
        <w:t xml:space="preserve">, G. (2023) On the edge: </w:t>
      </w:r>
      <w:proofErr w:type="spellStart"/>
      <w:r w:rsidRPr="00910C87">
        <w:t>Endbands</w:t>
      </w:r>
      <w:proofErr w:type="spellEnd"/>
      <w:r w:rsidRPr="00910C87">
        <w:t xml:space="preserve"> in the </w:t>
      </w:r>
      <w:proofErr w:type="spellStart"/>
      <w:r w:rsidRPr="00910C87">
        <w:t>Bookibinging</w:t>
      </w:r>
      <w:proofErr w:type="spellEnd"/>
      <w:r w:rsidRPr="00910C87">
        <w:t xml:space="preserve"> Traditions of the Eastern Mediterranean, Michigan: The Legacy Press, p.181</w:t>
      </w:r>
    </w:p>
    <w:p w14:paraId="2861DE23" w14:textId="77777777" w:rsidR="0037714F" w:rsidRDefault="0037714F" w:rsidP="0037714F">
      <w:pPr>
        <w:pStyle w:val="Heading4"/>
      </w:pPr>
      <w:r>
        <w:t xml:space="preserve">OLD DEFINITION </w:t>
      </w:r>
    </w:p>
    <w:p w14:paraId="4D939ABD" w14:textId="77777777" w:rsidR="0037714F" w:rsidRPr="00910C87" w:rsidRDefault="0037714F" w:rsidP="0037714F">
      <w:pPr>
        <w:rPr>
          <w:rFonts w:ascii="Arial" w:hAnsi="Arial" w:cs="Arial"/>
          <w:b/>
        </w:rPr>
      </w:pPr>
      <w:r w:rsidRPr="00910C87">
        <w:rPr>
          <w:rFonts w:ascii="Arial" w:hAnsi="Arial" w:cs="Arial"/>
          <w:b/>
        </w:rPr>
        <w:t>P32 used general technique (was technique of)</w:t>
      </w:r>
    </w:p>
    <w:p w14:paraId="32A41D14" w14:textId="77777777" w:rsidR="0037714F" w:rsidRPr="00627433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627433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lastRenderedPageBreak/>
        <w:t>Domain:</w:t>
      </w:r>
    </w:p>
    <w:p w14:paraId="5CFC48A1" w14:textId="77777777" w:rsidR="0037714F" w:rsidRPr="00627433" w:rsidRDefault="0037714F" w:rsidP="0037714F">
      <w:pPr>
        <w:suppressAutoHyphens/>
        <w:spacing w:after="0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hyperlink w:anchor="_toc7412">
        <w:r w:rsidRPr="00627433">
          <w:rPr>
            <w:rFonts w:ascii="Times New Roman" w:eastAsia="Noto Serif CJK SC" w:hAnsi="Times New Roman" w:cs="Lohit Devanagari"/>
            <w:color w:val="000000"/>
            <w:kern w:val="2"/>
            <w:szCs w:val="24"/>
            <w:u w:val="dotted"/>
            <w:lang w:val="en-GB" w:eastAsia="zh-CN" w:bidi="hi-IN"/>
          </w:rPr>
          <w:t>E7</w:t>
        </w:r>
      </w:hyperlink>
      <w:r w:rsidRPr="00627433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 Activity</w:t>
      </w:r>
    </w:p>
    <w:p w14:paraId="557B2373" w14:textId="77777777" w:rsidR="0037714F" w:rsidRPr="00627433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</w:pPr>
      <w:r w:rsidRPr="00627433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>Range:</w:t>
      </w:r>
    </w:p>
    <w:p w14:paraId="700BE03F" w14:textId="77777777" w:rsidR="0037714F" w:rsidRPr="00627433" w:rsidRDefault="0037714F" w:rsidP="0037714F">
      <w:pPr>
        <w:suppressAutoHyphens/>
        <w:spacing w:after="0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hyperlink w:anchor="_toc8153">
        <w:r w:rsidRPr="00627433">
          <w:rPr>
            <w:rFonts w:ascii="Times New Roman" w:eastAsia="Noto Serif CJK SC" w:hAnsi="Times New Roman" w:cs="Lohit Devanagari"/>
            <w:color w:val="000000"/>
            <w:kern w:val="2"/>
            <w:u w:val="dotted"/>
            <w:lang w:val="en-GB" w:eastAsia="zh-CN" w:bidi="hi-IN"/>
          </w:rPr>
          <w:t>E55</w:t>
        </w:r>
      </w:hyperlink>
      <w:r w:rsidRPr="00627433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 xml:space="preserve"> Type</w:t>
      </w:r>
    </w:p>
    <w:p w14:paraId="12A6B931" w14:textId="77777777" w:rsidR="0037714F" w:rsidRPr="00627433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</w:pPr>
      <w:r w:rsidRPr="00627433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 xml:space="preserve">Subproperty of: </w:t>
      </w:r>
    </w:p>
    <w:p w14:paraId="211B3A49" w14:textId="77777777" w:rsidR="0037714F" w:rsidRPr="00627433" w:rsidRDefault="0037714F" w:rsidP="0037714F">
      <w:pPr>
        <w:suppressAutoHyphens/>
        <w:spacing w:after="0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hyperlink w:anchor="_toc7412">
        <w:r w:rsidRPr="00627433">
          <w:rPr>
            <w:rFonts w:ascii="Times New Roman" w:eastAsia="Noto Serif CJK SC" w:hAnsi="Times New Roman" w:cs="Lohit Devanagari"/>
            <w:color w:val="000000"/>
            <w:kern w:val="2"/>
            <w:u w:val="dotted"/>
            <w:lang w:val="en-GB" w:eastAsia="zh-CN" w:bidi="hi-IN"/>
          </w:rPr>
          <w:t>E7</w:t>
        </w:r>
      </w:hyperlink>
      <w:r w:rsidRPr="00627433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 xml:space="preserve"> Activity. </w:t>
      </w:r>
      <w:hyperlink w:anchor="_toc10733">
        <w:r w:rsidRPr="00627433">
          <w:rPr>
            <w:rFonts w:ascii="Times New Roman" w:eastAsia="Noto Serif CJK SC" w:hAnsi="Times New Roman" w:cs="Lohit Devanagari"/>
            <w:color w:val="000000"/>
            <w:kern w:val="2"/>
            <w:u w:val="dotted"/>
            <w:lang w:val="en-GB" w:eastAsia="zh-CN" w:bidi="hi-IN"/>
          </w:rPr>
          <w:t>P125</w:t>
        </w:r>
      </w:hyperlink>
      <w:r w:rsidRPr="00627433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 xml:space="preserve"> used object of type (was type of object used in): </w:t>
      </w:r>
      <w:hyperlink w:anchor="_toc8153">
        <w:r w:rsidRPr="00627433">
          <w:rPr>
            <w:rFonts w:ascii="Times New Roman" w:eastAsia="Noto Serif CJK SC" w:hAnsi="Times New Roman" w:cs="Lohit Devanagari"/>
            <w:color w:val="000000"/>
            <w:kern w:val="2"/>
            <w:u w:val="dotted"/>
            <w:lang w:val="en-GB" w:eastAsia="zh-CN" w:bidi="hi-IN"/>
          </w:rPr>
          <w:t>E55</w:t>
        </w:r>
      </w:hyperlink>
      <w:r w:rsidRPr="00627433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 xml:space="preserve"> Type</w:t>
      </w:r>
    </w:p>
    <w:p w14:paraId="2C97BFD0" w14:textId="77777777" w:rsidR="0037714F" w:rsidRPr="00627433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627433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>Quantification:</w:t>
      </w:r>
    </w:p>
    <w:p w14:paraId="54A6585E" w14:textId="77777777" w:rsidR="0037714F" w:rsidRPr="00627433" w:rsidRDefault="0037714F" w:rsidP="0037714F">
      <w:pPr>
        <w:suppressAutoHyphens/>
        <w:spacing w:after="142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627433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>many to many (0,n:0,n)</w:t>
      </w:r>
    </w:p>
    <w:p w14:paraId="0C98E4C5" w14:textId="77777777" w:rsidR="0037714F" w:rsidRPr="00627433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627433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>Scope note:</w:t>
      </w:r>
    </w:p>
    <w:p w14:paraId="608D0C24" w14:textId="77777777" w:rsidR="0037714F" w:rsidRPr="00627433" w:rsidRDefault="0037714F" w:rsidP="0037714F">
      <w:pPr>
        <w:suppressAutoHyphens/>
        <w:spacing w:after="170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627433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This property identifies the technique or method, modelled as an instance of E55 Type, that was employed in an instance of E7 Activity. </w:t>
      </w:r>
    </w:p>
    <w:p w14:paraId="1E17B239" w14:textId="77777777" w:rsidR="0037714F" w:rsidRPr="00627433" w:rsidRDefault="0037714F" w:rsidP="0037714F">
      <w:pPr>
        <w:suppressAutoHyphens/>
        <w:spacing w:after="170"/>
        <w:ind w:left="1440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627433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These techniques should be drawn from an external E55 Type hierarchy of consistent terminology of general techniques or methods such as embroidery, oil-painting, carbon dating, etc. Specific documented techniques should be described as instances of E29 Design or Procedure. </w:t>
      </w:r>
    </w:p>
    <w:p w14:paraId="0E1CF2D3" w14:textId="77777777" w:rsidR="0037714F" w:rsidRPr="00627433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</w:pPr>
      <w:r w:rsidRPr="00627433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>Examples:</w:t>
      </w:r>
      <w:r w:rsidRPr="00627433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ab/>
      </w:r>
    </w:p>
    <w:p w14:paraId="079C5263" w14:textId="77777777" w:rsidR="0037714F" w:rsidRPr="00627433" w:rsidRDefault="0037714F" w:rsidP="0037714F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</w:pPr>
      <w:r w:rsidRPr="00627433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The ornamentation of silver cup 113 (E11) </w:t>
      </w:r>
      <w:r w:rsidRPr="00627433">
        <w:rPr>
          <w:rFonts w:ascii="Times New Roman" w:eastAsia="Noto Serif CJK SC" w:hAnsi="Times New Roman" w:cs="Lohit Devanagari"/>
          <w:i/>
          <w:kern w:val="2"/>
          <w:szCs w:val="24"/>
          <w:lang w:val="en-GB" w:eastAsia="zh-CN" w:bidi="hi-IN"/>
        </w:rPr>
        <w:t>used general technique</w:t>
      </w:r>
      <w:r w:rsidRPr="00627433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 gold-plating (E55). [A Design or Procedure type] (fictitious)</w:t>
      </w:r>
    </w:p>
    <w:p w14:paraId="13114941" w14:textId="77777777" w:rsidR="0037714F" w:rsidRPr="00627433" w:rsidRDefault="0037714F" w:rsidP="0037714F">
      <w:pPr>
        <w:keepNext/>
        <w:suppressAutoHyphens/>
        <w:spacing w:before="170" w:after="0"/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</w:pPr>
      <w:r w:rsidRPr="00627433">
        <w:rPr>
          <w:rFonts w:ascii="Times New Roman" w:eastAsia="Noto Serif CJK SC" w:hAnsi="Times New Roman" w:cs="Lohit Devanagari"/>
          <w:color w:val="000000"/>
          <w:kern w:val="2"/>
          <w:lang w:val="en-GB" w:eastAsia="zh-CN" w:bidi="hi-IN"/>
        </w:rPr>
        <w:t>In first-order logic:</w:t>
      </w:r>
    </w:p>
    <w:p w14:paraId="1933F950" w14:textId="77777777" w:rsidR="0037714F" w:rsidRPr="00627433" w:rsidRDefault="0037714F" w:rsidP="0037714F">
      <w:pPr>
        <w:suppressAutoHyphens/>
        <w:spacing w:after="0"/>
        <w:ind w:left="1440"/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</w:pPr>
      <w:r w:rsidRPr="00627433"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  <w:t xml:space="preserve">P32(x,y) </w:t>
      </w:r>
      <w:r w:rsidRPr="00627433">
        <w:rPr>
          <w:rFonts w:ascii="Cambria Math" w:eastAsia="Noto Serif CJK SC" w:hAnsi="Cambria Math" w:cs="Cambria Math"/>
          <w:kern w:val="2"/>
          <w:szCs w:val="24"/>
          <w:lang w:val="fr-FR" w:eastAsia="zh-CN" w:bidi="hi-IN"/>
        </w:rPr>
        <w:t>⇒</w:t>
      </w:r>
      <w:r w:rsidRPr="00627433"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  <w:t xml:space="preserve"> E7(x)</w:t>
      </w:r>
    </w:p>
    <w:p w14:paraId="79F03C77" w14:textId="77777777" w:rsidR="0037714F" w:rsidRDefault="0037714F" w:rsidP="0037714F">
      <w:pPr>
        <w:suppressAutoHyphens/>
        <w:spacing w:after="0"/>
        <w:ind w:left="1440"/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</w:pPr>
      <w:r w:rsidRPr="00627433"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  <w:t xml:space="preserve">P32(x,y) </w:t>
      </w:r>
      <w:r w:rsidRPr="00627433">
        <w:rPr>
          <w:rFonts w:ascii="Cambria Math" w:eastAsia="Noto Serif CJK SC" w:hAnsi="Cambria Math" w:cs="Cambria Math"/>
          <w:kern w:val="2"/>
          <w:szCs w:val="24"/>
          <w:lang w:val="fr-FR" w:eastAsia="zh-CN" w:bidi="hi-IN"/>
        </w:rPr>
        <w:t>⇒</w:t>
      </w:r>
      <w:r w:rsidRPr="00627433">
        <w:rPr>
          <w:rFonts w:ascii="Times New Roman" w:eastAsia="Noto Serif CJK SC" w:hAnsi="Times New Roman" w:cs="Lohit Devanagari"/>
          <w:kern w:val="2"/>
          <w:szCs w:val="24"/>
          <w:lang w:val="fr-FR" w:eastAsia="zh-CN" w:bidi="hi-IN"/>
        </w:rPr>
        <w:t xml:space="preserve"> E55(y) </w:t>
      </w:r>
    </w:p>
    <w:p w14:paraId="104C893C" w14:textId="77777777" w:rsidR="0037714F" w:rsidRPr="00627433" w:rsidRDefault="0037714F" w:rsidP="0037714F">
      <w:pPr>
        <w:suppressAutoHyphens/>
        <w:spacing w:after="0"/>
        <w:ind w:left="1440"/>
      </w:pPr>
      <w:r w:rsidRPr="00627433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P32(x,y) </w:t>
      </w:r>
      <w:r w:rsidRPr="00627433">
        <w:rPr>
          <w:rFonts w:ascii="Cambria Math" w:eastAsia="Noto Serif CJK SC" w:hAnsi="Cambria Math" w:cs="Cambria Math"/>
          <w:kern w:val="2"/>
          <w:szCs w:val="24"/>
          <w:lang w:val="en-GB" w:eastAsia="zh-CN" w:bidi="hi-IN"/>
        </w:rPr>
        <w:t>⇒</w:t>
      </w:r>
      <w:r w:rsidRPr="00627433">
        <w:rPr>
          <w:rFonts w:ascii="Times New Roman" w:eastAsia="Noto Serif CJK SC" w:hAnsi="Times New Roman" w:cs="Lohit Devanagari"/>
          <w:kern w:val="2"/>
          <w:szCs w:val="24"/>
          <w:lang w:val="en-GB" w:eastAsia="zh-CN" w:bidi="hi-IN"/>
        </w:rPr>
        <w:t xml:space="preserve"> P125(x,y)</w:t>
      </w:r>
    </w:p>
    <w:p w14:paraId="4AB37D8A" w14:textId="77777777" w:rsidR="0037714F" w:rsidRDefault="0037714F" w:rsidP="0037714F"/>
    <w:sectPr w:rsidR="0037714F" w:rsidSect="00C6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55AE"/>
    <w:multiLevelType w:val="hybridMultilevel"/>
    <w:tmpl w:val="5B6C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C195D"/>
    <w:multiLevelType w:val="multilevel"/>
    <w:tmpl w:val="87A099D6"/>
    <w:lvl w:ilvl="0">
      <w:start w:val="1"/>
      <w:numFmt w:val="bullet"/>
      <w:suff w:val="space"/>
      <w:lvlText w:val=""/>
      <w:lvlJc w:val="left"/>
      <w:pPr>
        <w:tabs>
          <w:tab w:val="num" w:pos="0"/>
        </w:tabs>
        <w:ind w:left="1644" w:hanging="204"/>
      </w:pPr>
      <w:rPr>
        <w:rFonts w:ascii="Wingdings 2" w:hAnsi="Wingdings 2" w:cs="Wingdings 2" w:hint="default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7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1587"/>
        </w:tabs>
        <w:ind w:left="1587" w:hanging="227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7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cs="Wingdings" w:hint="default"/>
      </w:rPr>
    </w:lvl>
  </w:abstractNum>
  <w:abstractNum w:abstractNumId="2" w15:restartNumberingAfterBreak="0">
    <w:nsid w:val="51225680"/>
    <w:multiLevelType w:val="multilevel"/>
    <w:tmpl w:val="4A8C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7C"/>
    <w:rsid w:val="0037714F"/>
    <w:rsid w:val="00401F7C"/>
    <w:rsid w:val="0055322F"/>
    <w:rsid w:val="006414F7"/>
    <w:rsid w:val="00C67417"/>
    <w:rsid w:val="00D8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B33E"/>
  <w15:chartTrackingRefBased/>
  <w15:docId w15:val="{6F08289D-3336-4E86-AEEB-D86A6364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14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1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1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71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71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71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714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7714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7714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377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2</cp:revision>
  <dcterms:created xsi:type="dcterms:W3CDTF">2025-12-10T10:24:00Z</dcterms:created>
  <dcterms:modified xsi:type="dcterms:W3CDTF">2025-12-10T10:25:00Z</dcterms:modified>
</cp:coreProperties>
</file>