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56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formal ontology is about “being”. It describes classes of individual items, properties and logical rules constraining their combinations that approximate at a categorical level how we perceive that certain things and phenomena of reality are and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behave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including our descriptions of it. It describes “possible states of affairs”.  We require that these concepts are not only conventions between humans, but also sufficiently close to reality so that valid deductions about reality can be drawn from the ontology and  instances of it</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obtained under theoretical, perfect conditions of observation</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The deviations in precision and coverage (i.e. wrt exceptions) of the ontology from reality as an idealized, logical approximation should be understood and tolerable for the purpose of the respective research. Only things and phenomena of reality that behave close enough to the logical form of a formal ontology can </w:t>
      </w:r>
      <w:r w:rsidDel="00000000" w:rsidR="00000000" w:rsidRPr="00000000">
        <w:rPr>
          <w:rFonts w:ascii="Calibri" w:cs="Calibri" w:eastAsia="Calibri" w:hAnsi="Calibri"/>
          <w:rtl w:val="0"/>
        </w:rPr>
        <w:t xml:space="preserve">usefully be described</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by it</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56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We regard knowledge as justified beliefs of propositions X of a form that make sense in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 know that X holds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Besides defining the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proposition X as an expression of information</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a human stating “I know that X holds” must be able to relate all classes, properties and identifiers (names) in such an expression with situations and individual things of the real world. Therefore only humans have knowledge.</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56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knowledge base in the sense of the CRM is an information object that instantiates the formal ontology with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propositions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that the maintainer of the knowledge base believes, i.e., regards it as “the best of my knowledge”. There are subtle, but substantial differences between registered knowledge and reality, because it includes contradictions, alternatives and uncertainties. The maintainer of the knowledge base may be an individual person or a team, trusting each other and sharing the same contextual knowledge of the world (see Doerr, Meghini &amp; Spyratos 2)</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56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maintainer of the knowledge base is its ultimate provenance, providing (or not) trust in the care and honesty of the described propositions. The maintainer should not appear in the knowledge base as propositions of provenance, but be described as metadata about the knowledge base as a whole, exactly as we do not repeat the author of a book in each phrase.</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56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knowledge may be direct or indirect:</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56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Direct knowledge is that believed out of good, explicable reasons of observation or inferencing by the maintainers themselves. </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560" w:firstLine="0"/>
        <w:jc w:val="both"/>
        <w:rPr>
          <w:rFonts w:ascii="Calibri" w:cs="Calibri" w:eastAsia="Calibri" w:hAnsi="Calibri"/>
          <w:b w:val="0"/>
          <w:i w:val="0"/>
          <w:smallCaps w:val="0"/>
          <w:strike w:val="1"/>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Indirect knowledge is that that the maintainer adopts or refers to from other sources. In that case, the formal knowledge of the maintainer is restricted to the information as a formal expression and its provenance. The maintainer may or may not </w:t>
      </w:r>
      <w:r w:rsidDel="00000000" w:rsidR="00000000" w:rsidRPr="00000000">
        <w:rPr>
          <w:rFonts w:ascii="Calibri" w:cs="Calibri" w:eastAsia="Calibri" w:hAnsi="Calibri"/>
          <w:rtl w:val="0"/>
        </w:rPr>
        <w:t xml:space="preserve">believe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this information. Therefore, the knowledge base should contain the adequate propositions about its provenance (believed by the maintainer)</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56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It should be possible to communicate with the maintainer and discuss justifications and possible corrections of errors.</w:t>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56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Ideally, the source of indirect knowledge should contain further provenance statements about indirect knowledge its author has used. The ideal would </w:t>
      </w:r>
      <w:r w:rsidDel="00000000" w:rsidR="00000000" w:rsidRPr="00000000">
        <w:rPr>
          <w:rFonts w:ascii="Calibri" w:cs="Calibri" w:eastAsia="Calibri" w:hAnsi="Calibri"/>
          <w:rtl w:val="0"/>
        </w:rPr>
        <w:t xml:space="preserve">be to</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link all those provenance statements together until they direct us to all direct knowledge used. This is, of course, impossible, but nevertheless we have the means to document, increase and link our provenance knowledge to larger and larger chains, which will be extremely useful for validating and improving our overall knowledge.</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56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maintainer of a knowledge base may decide to document provenance of provenance, if there is no reliable digital resource to link to the next statement in the provenance chain, or if a local copy of parts of the provenance chain appears to be useful.</w:t>
      </w:r>
    </w:p>
    <w:sectPr>
      <w:headerReference r:id="rId6" w:type="default"/>
      <w:footerReference r:id="rId7" w:type="default"/>
      <w:pgSz w:h="16840" w:w="11900" w:orient="portrait"/>
      <w:pgMar w:bottom="1134" w:top="1417" w:left="1134" w:right="1134"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libri"/>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20"/>
      </w:tabs>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20"/>
      </w:tabs>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